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61" w:type="dxa"/>
        <w:tblInd w:w="-34" w:type="dxa"/>
        <w:tblLayout w:type="fixed"/>
        <w:tblLook w:val="04A0" w:firstRow="1" w:lastRow="0" w:firstColumn="1" w:lastColumn="0" w:noHBand="0" w:noVBand="1"/>
      </w:tblPr>
      <w:tblGrid>
        <w:gridCol w:w="9961"/>
      </w:tblGrid>
      <w:tr w:rsidR="00885BBA" w:rsidTr="00885BBA">
        <w:trPr>
          <w:trHeight w:val="455"/>
        </w:trPr>
        <w:tc>
          <w:tcPr>
            <w:tcW w:w="9961" w:type="dxa"/>
            <w:vAlign w:val="center"/>
            <w:hideMark/>
          </w:tcPr>
          <w:p w:rsidR="00885BBA" w:rsidRDefault="00885BBA" w:rsidP="00885BBA">
            <w:pPr>
              <w:jc w:val="center"/>
              <w:rPr>
                <w:sz w:val="16"/>
                <w:szCs w:val="16"/>
                <w:lang w:val="en-GB" w:eastAsia="en-GB"/>
              </w:rPr>
            </w:pPr>
            <w:r w:rsidRPr="004D6374">
              <w:rPr>
                <w:b/>
                <w:sz w:val="44"/>
                <w:szCs w:val="44"/>
                <w:lang w:val="en-GB" w:eastAsia="en-GB"/>
              </w:rPr>
              <w:t>EACO</w:t>
            </w:r>
          </w:p>
        </w:tc>
      </w:tr>
      <w:tr w:rsidR="00885BBA" w:rsidTr="00885BBA">
        <w:trPr>
          <w:trHeight w:val="44"/>
        </w:trPr>
        <w:tc>
          <w:tcPr>
            <w:tcW w:w="9961" w:type="dxa"/>
            <w:vAlign w:val="center"/>
            <w:hideMark/>
          </w:tcPr>
          <w:p w:rsidR="00885BBA" w:rsidRDefault="00885BBA" w:rsidP="00885BBA">
            <w:pPr>
              <w:pStyle w:val="NoSpacing"/>
              <w:jc w:val="center"/>
              <w:rPr>
                <w:lang w:val="en-GB" w:eastAsia="en-GB"/>
              </w:rPr>
            </w:pPr>
            <w:r>
              <w:rPr>
                <w:noProof/>
              </w:rPr>
              <mc:AlternateContent>
                <mc:Choice Requires="wps">
                  <w:drawing>
                    <wp:anchor distT="0" distB="0" distL="114300" distR="114300" simplePos="0" relativeHeight="251659264" behindDoc="0" locked="0" layoutInCell="1" allowOverlap="1" wp14:anchorId="2E1B7BFA" wp14:editId="6F70043A">
                      <wp:simplePos x="0" y="0"/>
                      <wp:positionH relativeFrom="column">
                        <wp:posOffset>-40640</wp:posOffset>
                      </wp:positionH>
                      <wp:positionV relativeFrom="paragraph">
                        <wp:posOffset>29845</wp:posOffset>
                      </wp:positionV>
                      <wp:extent cx="6200775" cy="0"/>
                      <wp:effectExtent l="0" t="0" r="9525"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D21D6C" id="_x0000_t32" coordsize="21600,21600" o:spt="32" o:oned="t" path="m,l21600,21600e" filled="f">
                      <v:path arrowok="t" fillok="f" o:connecttype="none"/>
                      <o:lock v:ext="edit" shapetype="t"/>
                    </v:shapetype>
                    <v:shape id="Straight Arrow Connector 8" o:spid="_x0000_s1026" type="#_x0000_t32" style="position:absolute;margin-left:-3.2pt;margin-top:2.35pt;width:488.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">
                      <v:stroke dashstyle="1 1" endcap="round"/>
                    </v:shape>
                  </w:pict>
                </mc:Fallback>
              </mc:AlternateContent>
            </w:r>
          </w:p>
          <w:tbl>
            <w:tblPr>
              <w:tblW w:w="9702" w:type="dxa"/>
              <w:tblInd w:w="1" w:type="dxa"/>
              <w:tblLayout w:type="fixed"/>
              <w:tblLook w:val="04A0" w:firstRow="1" w:lastRow="0" w:firstColumn="1" w:lastColumn="0" w:noHBand="0" w:noVBand="1"/>
            </w:tblPr>
            <w:tblGrid>
              <w:gridCol w:w="9702"/>
            </w:tblGrid>
            <w:tr w:rsidR="00885BBA" w:rsidTr="00885BBA">
              <w:trPr>
                <w:trHeight w:val="82"/>
              </w:trPr>
              <w:tc>
                <w:tcPr>
                  <w:tcW w:w="9702" w:type="dxa"/>
                  <w:hideMark/>
                </w:tcPr>
                <w:p w:rsidR="00885BBA" w:rsidRPr="004D6374" w:rsidRDefault="00885BBA" w:rsidP="00AC70E9">
                  <w:pPr>
                    <w:spacing w:after="0" w:line="256" w:lineRule="auto"/>
                    <w:jc w:val="center"/>
                    <w:rPr>
                      <w:rFonts w:ascii="Arial" w:hAnsi="Arial" w:cs="Arial"/>
                      <w:b/>
                      <w:sz w:val="28"/>
                      <w:szCs w:val="28"/>
                      <w:lang w:val="en-GB" w:eastAsia="en-GB"/>
                    </w:rPr>
                  </w:pPr>
                  <w:r>
                    <w:rPr>
                      <w:rFonts w:ascii="Arial" w:hAnsi="Arial" w:cs="Arial"/>
                      <w:b/>
                      <w:sz w:val="28"/>
                      <w:szCs w:val="28"/>
                      <w:lang w:val="en-GB" w:eastAsia="en-GB"/>
                    </w:rPr>
                    <w:t>EACO 1</w:t>
                  </w:r>
                  <w:r w:rsidRPr="00885BBA">
                    <w:rPr>
                      <w:rFonts w:ascii="Arial" w:hAnsi="Arial" w:cs="Arial"/>
                      <w:b/>
                      <w:sz w:val="28"/>
                      <w:szCs w:val="28"/>
                      <w:vertAlign w:val="superscript"/>
                      <w:lang w:val="en-GB" w:eastAsia="en-GB"/>
                    </w:rPr>
                    <w:t>st</w:t>
                  </w:r>
                  <w:r>
                    <w:rPr>
                      <w:rFonts w:ascii="Arial" w:hAnsi="Arial" w:cs="Arial"/>
                      <w:b/>
                      <w:sz w:val="28"/>
                      <w:szCs w:val="28"/>
                      <w:lang w:val="en-GB" w:eastAsia="en-GB"/>
                    </w:rPr>
                    <w:t xml:space="preserve">  WRC-23</w:t>
                  </w:r>
                  <w:r w:rsidRPr="004D6374">
                    <w:rPr>
                      <w:rFonts w:ascii="Arial" w:hAnsi="Arial" w:cs="Arial"/>
                      <w:b/>
                      <w:sz w:val="28"/>
                      <w:szCs w:val="28"/>
                      <w:lang w:val="en-GB" w:eastAsia="en-GB"/>
                    </w:rPr>
                    <w:t xml:space="preserve"> </w:t>
                  </w:r>
                  <w:r>
                    <w:rPr>
                      <w:rFonts w:ascii="Arial" w:hAnsi="Arial" w:cs="Arial"/>
                      <w:b/>
                      <w:sz w:val="28"/>
                      <w:szCs w:val="28"/>
                      <w:lang w:val="en-GB" w:eastAsia="en-GB"/>
                    </w:rPr>
                    <w:t>Online Preparatory M</w:t>
                  </w:r>
                  <w:r w:rsidRPr="004D6374">
                    <w:rPr>
                      <w:rFonts w:ascii="Arial" w:hAnsi="Arial" w:cs="Arial"/>
                      <w:b/>
                      <w:sz w:val="28"/>
                      <w:szCs w:val="28"/>
                      <w:lang w:val="en-GB" w:eastAsia="en-GB"/>
                    </w:rPr>
                    <w:t>eeting</w:t>
                  </w:r>
                </w:p>
                <w:p w:rsidR="00885BBA" w:rsidRDefault="00885BBA" w:rsidP="00AC70E9">
                  <w:pPr>
                    <w:pStyle w:val="NoSpacing"/>
                    <w:jc w:val="center"/>
                    <w:rPr>
                      <w:rFonts w:ascii="Arial" w:hAnsi="Arial" w:cs="Arial"/>
                      <w:b/>
                      <w:sz w:val="28"/>
                      <w:szCs w:val="28"/>
                      <w:lang w:val="en-GB" w:eastAsia="en-GB"/>
                    </w:rPr>
                  </w:pPr>
                  <w:r>
                    <w:rPr>
                      <w:rFonts w:eastAsia="MS Mincho"/>
                      <w:lang w:val="en-GB" w:eastAsia="en-GB"/>
                    </w:rPr>
                    <w:t>12</w:t>
                  </w:r>
                  <w:r w:rsidRPr="00885BBA">
                    <w:rPr>
                      <w:rFonts w:eastAsia="MS Mincho"/>
                      <w:vertAlign w:val="superscript"/>
                      <w:lang w:val="en-GB" w:eastAsia="en-GB"/>
                    </w:rPr>
                    <w:t>th</w:t>
                  </w:r>
                  <w:r>
                    <w:rPr>
                      <w:rFonts w:eastAsia="MS Mincho"/>
                      <w:lang w:val="en-GB" w:eastAsia="en-GB"/>
                    </w:rPr>
                    <w:t xml:space="preserve"> November 2020</w:t>
                  </w:r>
                </w:p>
              </w:tc>
            </w:tr>
          </w:tbl>
          <w:p w:rsidR="00885BBA" w:rsidRDefault="00885BBA" w:rsidP="00885BBA">
            <w:pPr>
              <w:pStyle w:val="NoSpacing"/>
              <w:jc w:val="center"/>
              <w:rPr>
                <w:rFonts w:cs="Tahoma"/>
                <w:b/>
                <w:lang w:val="en-GB" w:eastAsia="en-GB"/>
              </w:rPr>
            </w:pPr>
            <w:r>
              <w:rPr>
                <w:noProof/>
              </w:rPr>
              <mc:AlternateContent>
                <mc:Choice Requires="wps">
                  <w:drawing>
                    <wp:anchor distT="0" distB="0" distL="114300" distR="114300" simplePos="0" relativeHeight="251660288" behindDoc="0" locked="0" layoutInCell="1" allowOverlap="1" wp14:anchorId="375F202E" wp14:editId="576248F8">
                      <wp:simplePos x="0" y="0"/>
                      <wp:positionH relativeFrom="column">
                        <wp:posOffset>-42545</wp:posOffset>
                      </wp:positionH>
                      <wp:positionV relativeFrom="paragraph">
                        <wp:posOffset>67945</wp:posOffset>
                      </wp:positionV>
                      <wp:extent cx="6200775" cy="0"/>
                      <wp:effectExtent l="0" t="0" r="9525"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35573D" id="Straight Arrow Connector 7" o:spid="_x0000_s1026" type="#_x0000_t32" style="position:absolute;margin-left:-3.35pt;margin-top:5.35pt;width:48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">
                      <v:stroke dashstyle="1 1" endcap="round"/>
                    </v:shape>
                  </w:pict>
                </mc:Fallback>
              </mc:AlternateContent>
            </w:r>
          </w:p>
        </w:tc>
      </w:tr>
    </w:tbl>
    <w:p w:rsidR="00885BBA" w:rsidRPr="006E0583" w:rsidRDefault="00885BBA" w:rsidP="006E0583">
      <w:pPr>
        <w:spacing w:after="0" w:line="240" w:lineRule="auto"/>
        <w:jc w:val="center"/>
        <w:rPr>
          <w:rFonts w:ascii="Arial" w:hAnsi="Arial" w:cs="Arial"/>
          <w:b/>
          <w:sz w:val="28"/>
          <w:szCs w:val="28"/>
        </w:rPr>
      </w:pPr>
      <w:r w:rsidRPr="006E0583">
        <w:rPr>
          <w:rFonts w:ascii="Arial" w:hAnsi="Arial" w:cs="Arial"/>
          <w:b/>
          <w:sz w:val="28"/>
          <w:szCs w:val="28"/>
        </w:rPr>
        <w:t>Chapter 4A</w:t>
      </w:r>
      <w:r w:rsidR="00600588" w:rsidRPr="006E0583">
        <w:rPr>
          <w:rFonts w:ascii="Arial" w:hAnsi="Arial" w:cs="Arial"/>
          <w:b/>
          <w:sz w:val="28"/>
          <w:szCs w:val="28"/>
        </w:rPr>
        <w:t xml:space="preserve"> </w:t>
      </w:r>
      <w:r w:rsidR="006E0583" w:rsidRPr="006E0583">
        <w:rPr>
          <w:rFonts w:ascii="Arial" w:hAnsi="Arial" w:cs="Arial"/>
          <w:b/>
          <w:sz w:val="28"/>
          <w:szCs w:val="28"/>
        </w:rPr>
        <w:t>- South Sudan</w:t>
      </w:r>
    </w:p>
    <w:p w:rsidR="00885BBA" w:rsidRDefault="00885BBA" w:rsidP="00885BBA">
      <w:pPr>
        <w:spacing w:after="0" w:line="240" w:lineRule="auto"/>
        <w:jc w:val="center"/>
        <w:rPr>
          <w:rFonts w:ascii="Arial" w:hAnsi="Arial" w:cs="Arial"/>
          <w:b/>
        </w:rPr>
      </w:pPr>
      <w:r>
        <w:rPr>
          <w:rFonts w:ascii="Arial" w:hAnsi="Arial" w:cs="Arial"/>
          <w:b/>
        </w:rPr>
        <w:t>(Agenda Items 1.15, 1.16, 1.17, 1.18 and 1.19)</w:t>
      </w:r>
    </w:p>
    <w:p w:rsidR="00885BBA" w:rsidRDefault="00885BBA" w:rsidP="00885BBA">
      <w:pPr>
        <w:spacing w:after="0" w:line="240" w:lineRule="auto"/>
        <w:rPr>
          <w:rFonts w:ascii="Arial" w:hAnsi="Arial" w:cs="Arial"/>
          <w:b/>
        </w:rPr>
      </w:pPr>
    </w:p>
    <w:p w:rsidR="00885BBA" w:rsidRPr="00CA6556" w:rsidRDefault="00885BBA" w:rsidP="00CA6556">
      <w:pPr>
        <w:spacing w:after="0" w:line="240" w:lineRule="auto"/>
        <w:jc w:val="both"/>
        <w:rPr>
          <w:rFonts w:ascii="Arial" w:hAnsi="Arial" w:cs="Arial"/>
        </w:rPr>
      </w:pPr>
      <w:r w:rsidRPr="00CA6556">
        <w:rPr>
          <w:rFonts w:ascii="Arial" w:hAnsi="Arial" w:cs="Arial"/>
        </w:rPr>
        <w:t xml:space="preserve">CPM-23-1 </w:t>
      </w:r>
      <w:r w:rsidR="00C422EB">
        <w:rPr>
          <w:rFonts w:ascii="Arial" w:hAnsi="Arial" w:cs="Arial"/>
        </w:rPr>
        <w:t>Working Party 4A as the responsible group for</w:t>
      </w:r>
      <w:r w:rsidRPr="00CA6556">
        <w:rPr>
          <w:rFonts w:ascii="Arial" w:hAnsi="Arial" w:cs="Arial"/>
        </w:rPr>
        <w:t xml:space="preserve"> agenda items 1.15, 1.16, 1.17, 1.18 and 1.19. In the first 4A E-meeting on WRC-23 agenda items held in May, the general working program</w:t>
      </w:r>
      <w:r w:rsidR="00CA6556" w:rsidRPr="00CA6556">
        <w:rPr>
          <w:rFonts w:ascii="Arial" w:hAnsi="Arial" w:cs="Arial"/>
        </w:rPr>
        <w:t xml:space="preserve"> and schedule was established. Correspondent groups were also </w:t>
      </w:r>
      <w:r w:rsidR="005577F8">
        <w:rPr>
          <w:rFonts w:ascii="Arial" w:hAnsi="Arial" w:cs="Arial"/>
        </w:rPr>
        <w:t>formed</w:t>
      </w:r>
      <w:r w:rsidR="00CA6556" w:rsidRPr="00CA6556">
        <w:rPr>
          <w:rFonts w:ascii="Arial" w:hAnsi="Arial" w:cs="Arial"/>
        </w:rPr>
        <w:t xml:space="preserve"> with chairpersons to handle the specific agenda items under this chapter. </w:t>
      </w:r>
    </w:p>
    <w:p w:rsidR="00885BBA" w:rsidRPr="00CA6556" w:rsidRDefault="00CA6556" w:rsidP="00CA6556">
      <w:pPr>
        <w:spacing w:after="0" w:line="240" w:lineRule="auto"/>
        <w:jc w:val="both"/>
        <w:rPr>
          <w:rFonts w:ascii="Arial" w:hAnsi="Arial" w:cs="Arial"/>
        </w:rPr>
      </w:pPr>
      <w:r w:rsidRPr="00CA6556">
        <w:rPr>
          <w:rFonts w:ascii="Arial" w:hAnsi="Arial" w:cs="Arial"/>
        </w:rPr>
        <w:t xml:space="preserve">The draft schedule </w:t>
      </w:r>
      <w:r w:rsidR="005577F8">
        <w:rPr>
          <w:rFonts w:ascii="Arial" w:hAnsi="Arial" w:cs="Arial"/>
        </w:rPr>
        <w:t xml:space="preserve">and action plan </w:t>
      </w:r>
      <w:r w:rsidRPr="00CA6556">
        <w:rPr>
          <w:rFonts w:ascii="Arial" w:hAnsi="Arial" w:cs="Arial"/>
        </w:rPr>
        <w:t>for working party 4A meetings is as shown below.</w:t>
      </w:r>
    </w:p>
    <w:p w:rsidR="00885BBA" w:rsidRPr="00434488" w:rsidRDefault="00885BBA" w:rsidP="00885BBA">
      <w:pPr>
        <w:spacing w:after="0" w:line="240" w:lineRule="auto"/>
        <w:jc w:val="center"/>
        <w:rPr>
          <w:rFonts w:ascii="Arial" w:hAnsi="Arial" w:cs="Arial"/>
          <w:b/>
        </w:rPr>
      </w:pPr>
    </w:p>
    <w:tbl>
      <w:tblPr>
        <w:tblStyle w:val="TableGrid"/>
        <w:tblW w:w="10485" w:type="dxa"/>
        <w:jc w:val="center"/>
        <w:tblLook w:val="04A0" w:firstRow="1" w:lastRow="0" w:firstColumn="1" w:lastColumn="0" w:noHBand="0" w:noVBand="1"/>
      </w:tblPr>
      <w:tblGrid>
        <w:gridCol w:w="1980"/>
        <w:gridCol w:w="8505"/>
      </w:tblGrid>
      <w:tr w:rsidR="00F3680F" w:rsidRPr="00A54B1E" w:rsidTr="00CF4CB8">
        <w:trPr>
          <w:jc w:val="center"/>
        </w:trPr>
        <w:tc>
          <w:tcPr>
            <w:tcW w:w="10485" w:type="dxa"/>
            <w:gridSpan w:val="2"/>
          </w:tcPr>
          <w:p w:rsidR="00F3680F" w:rsidRPr="00A54B1E" w:rsidRDefault="00F3680F" w:rsidP="00AC70E9">
            <w:pPr>
              <w:spacing w:before="40" w:after="40"/>
              <w:jc w:val="center"/>
              <w:rPr>
                <w:rFonts w:asciiTheme="minorHAnsi" w:hAnsiTheme="minorHAnsi" w:cstheme="minorHAnsi"/>
                <w:b/>
                <w:sz w:val="18"/>
                <w:szCs w:val="18"/>
              </w:rPr>
            </w:pPr>
            <w:r w:rsidRPr="00A54B1E">
              <w:rPr>
                <w:rFonts w:asciiTheme="minorHAnsi" w:hAnsiTheme="minorHAnsi" w:cstheme="minorHAnsi"/>
                <w:b/>
                <w:sz w:val="18"/>
                <w:szCs w:val="18"/>
              </w:rPr>
              <w:t>Working Party 4A meetings</w:t>
            </w:r>
          </w:p>
        </w:tc>
      </w:tr>
      <w:tr w:rsidR="00F3680F" w:rsidRPr="00A54B1E" w:rsidTr="00CF4CB8">
        <w:trPr>
          <w:jc w:val="center"/>
        </w:trPr>
        <w:tc>
          <w:tcPr>
            <w:tcW w:w="10485" w:type="dxa"/>
            <w:gridSpan w:val="2"/>
            <w:tcBorders>
              <w:top w:val="single" w:sz="4" w:space="0" w:color="auto"/>
            </w:tcBorders>
            <w:shd w:val="clear" w:color="auto" w:fill="D9D9D9" w:themeFill="background1" w:themeFillShade="D9"/>
          </w:tcPr>
          <w:p w:rsidR="00F3680F" w:rsidRPr="00A54B1E" w:rsidRDefault="00F3680F" w:rsidP="00AC70E9">
            <w:pPr>
              <w:spacing w:before="40" w:after="40"/>
              <w:jc w:val="center"/>
              <w:rPr>
                <w:rFonts w:asciiTheme="minorHAnsi" w:hAnsiTheme="minorHAnsi" w:cstheme="minorHAnsi"/>
                <w:b/>
                <w:bCs/>
                <w:sz w:val="18"/>
                <w:szCs w:val="18"/>
              </w:rPr>
            </w:pPr>
            <w:r w:rsidRPr="00A54B1E">
              <w:rPr>
                <w:rFonts w:asciiTheme="minorHAnsi" w:hAnsiTheme="minorHAnsi" w:cstheme="minorHAnsi"/>
                <w:b/>
                <w:bCs/>
                <w:sz w:val="18"/>
                <w:szCs w:val="18"/>
              </w:rPr>
              <w:t>2020</w:t>
            </w:r>
          </w:p>
        </w:tc>
      </w:tr>
      <w:tr w:rsidR="007B5DBC" w:rsidRPr="00A54B1E" w:rsidTr="00CF4CB8">
        <w:trPr>
          <w:jc w:val="center"/>
        </w:trPr>
        <w:tc>
          <w:tcPr>
            <w:tcW w:w="1980" w:type="dxa"/>
            <w:tcBorders>
              <w:top w:val="single" w:sz="4" w:space="0" w:color="auto"/>
            </w:tcBorders>
            <w:shd w:val="clear" w:color="auto" w:fill="D9D9D9" w:themeFill="background1" w:themeFillShade="D9"/>
          </w:tcPr>
          <w:p w:rsidR="007B5DBC" w:rsidRPr="00A54B1E" w:rsidRDefault="007B5DBC" w:rsidP="00AC70E9">
            <w:pPr>
              <w:spacing w:before="40" w:after="40"/>
              <w:jc w:val="center"/>
              <w:rPr>
                <w:rFonts w:asciiTheme="minorHAnsi" w:hAnsiTheme="minorHAnsi" w:cstheme="minorHAnsi"/>
                <w:b/>
                <w:bCs/>
                <w:sz w:val="18"/>
                <w:szCs w:val="18"/>
              </w:rPr>
            </w:pPr>
            <w:r w:rsidRPr="00A54B1E">
              <w:rPr>
                <w:rFonts w:asciiTheme="minorHAnsi" w:hAnsiTheme="minorHAnsi" w:cstheme="minorHAnsi"/>
                <w:b/>
                <w:bCs/>
                <w:sz w:val="18"/>
                <w:szCs w:val="18"/>
              </w:rPr>
              <w:t>Meeting</w:t>
            </w:r>
          </w:p>
        </w:tc>
        <w:tc>
          <w:tcPr>
            <w:tcW w:w="8505" w:type="dxa"/>
            <w:tcBorders>
              <w:top w:val="single" w:sz="4" w:space="0" w:color="auto"/>
            </w:tcBorders>
            <w:shd w:val="clear" w:color="auto" w:fill="D9D9D9" w:themeFill="background1" w:themeFillShade="D9"/>
          </w:tcPr>
          <w:p w:rsidR="007B5DBC" w:rsidRPr="00A54B1E" w:rsidRDefault="007B5DBC" w:rsidP="00AC70E9">
            <w:pPr>
              <w:spacing w:before="40" w:after="40"/>
              <w:jc w:val="center"/>
              <w:rPr>
                <w:rFonts w:asciiTheme="minorHAnsi" w:hAnsiTheme="minorHAnsi" w:cstheme="minorHAnsi"/>
                <w:b/>
                <w:bCs/>
                <w:sz w:val="18"/>
                <w:szCs w:val="18"/>
              </w:rPr>
            </w:pPr>
            <w:r w:rsidRPr="00A54B1E">
              <w:rPr>
                <w:rFonts w:asciiTheme="minorHAnsi" w:hAnsiTheme="minorHAnsi" w:cstheme="minorHAnsi"/>
                <w:b/>
                <w:bCs/>
                <w:sz w:val="18"/>
                <w:szCs w:val="18"/>
              </w:rPr>
              <w:t>Activities</w:t>
            </w:r>
          </w:p>
        </w:tc>
      </w:tr>
      <w:tr w:rsidR="007B5DBC" w:rsidRPr="00A54B1E" w:rsidTr="00CF4CB8">
        <w:trPr>
          <w:jc w:val="center"/>
        </w:trPr>
        <w:tc>
          <w:tcPr>
            <w:tcW w:w="1980" w:type="dxa"/>
          </w:tcPr>
          <w:p w:rsidR="007B5DBC" w:rsidRPr="00A54B1E" w:rsidRDefault="007B5DBC" w:rsidP="00A54B1E">
            <w:pPr>
              <w:spacing w:before="40" w:after="40"/>
              <w:rPr>
                <w:rFonts w:asciiTheme="minorHAnsi" w:hAnsiTheme="minorHAnsi" w:cstheme="minorHAnsi"/>
                <w:sz w:val="18"/>
                <w:szCs w:val="18"/>
              </w:rPr>
            </w:pPr>
            <w:r w:rsidRPr="00A54B1E">
              <w:rPr>
                <w:rFonts w:asciiTheme="minorHAnsi" w:hAnsiTheme="minorHAnsi" w:cstheme="minorHAnsi"/>
                <w:sz w:val="18"/>
                <w:szCs w:val="18"/>
              </w:rPr>
              <w:t xml:space="preserve">                                        </w:t>
            </w:r>
          </w:p>
          <w:p w:rsidR="007B5DBC" w:rsidRPr="00A54B1E" w:rsidRDefault="007B5DBC" w:rsidP="007B5DBC">
            <w:pPr>
              <w:spacing w:before="40" w:after="40"/>
              <w:jc w:val="center"/>
              <w:rPr>
                <w:rFonts w:asciiTheme="minorHAnsi" w:hAnsiTheme="minorHAnsi" w:cstheme="minorHAnsi"/>
                <w:sz w:val="18"/>
                <w:szCs w:val="18"/>
              </w:rPr>
            </w:pPr>
            <w:r w:rsidRPr="00A54B1E">
              <w:rPr>
                <w:rFonts w:asciiTheme="minorHAnsi" w:hAnsiTheme="minorHAnsi" w:cstheme="minorHAnsi"/>
                <w:sz w:val="18"/>
                <w:szCs w:val="18"/>
              </w:rPr>
              <w:t>1</w:t>
            </w:r>
            <w:r w:rsidRPr="00A54B1E">
              <w:rPr>
                <w:rFonts w:asciiTheme="minorHAnsi" w:hAnsiTheme="minorHAnsi" w:cstheme="minorHAnsi"/>
                <w:sz w:val="18"/>
                <w:szCs w:val="18"/>
                <w:vertAlign w:val="superscript"/>
              </w:rPr>
              <w:t>st</w:t>
            </w:r>
            <w:r w:rsidRPr="00A54B1E">
              <w:rPr>
                <w:rFonts w:asciiTheme="minorHAnsi" w:hAnsiTheme="minorHAnsi" w:cstheme="minorHAnsi"/>
                <w:sz w:val="18"/>
                <w:szCs w:val="18"/>
              </w:rPr>
              <w:t xml:space="preserve"> WP 4A Meeting</w:t>
            </w:r>
          </w:p>
          <w:p w:rsidR="007B5DBC" w:rsidRPr="00A54B1E" w:rsidRDefault="007B5DBC" w:rsidP="007B5DBC">
            <w:pPr>
              <w:spacing w:before="40" w:after="40"/>
              <w:jc w:val="center"/>
              <w:rPr>
                <w:rFonts w:asciiTheme="minorHAnsi" w:hAnsiTheme="minorHAnsi" w:cstheme="minorHAnsi"/>
                <w:sz w:val="18"/>
                <w:szCs w:val="18"/>
              </w:rPr>
            </w:pPr>
            <w:r w:rsidRPr="00A54B1E">
              <w:rPr>
                <w:rFonts w:asciiTheme="minorHAnsi" w:hAnsiTheme="minorHAnsi" w:cstheme="minorHAnsi"/>
                <w:sz w:val="18"/>
                <w:szCs w:val="18"/>
              </w:rPr>
              <w:t>E-meeting#1 28 and 29 May 2020 + CG activity until October/November 2020 meeting</w:t>
            </w:r>
          </w:p>
        </w:tc>
        <w:tc>
          <w:tcPr>
            <w:tcW w:w="8505" w:type="dxa"/>
          </w:tcPr>
          <w:p w:rsidR="007B5DBC" w:rsidRPr="00A54B1E" w:rsidRDefault="007B5DBC" w:rsidP="00A54B1E">
            <w:pPr>
              <w:pStyle w:val="ListParagraph"/>
              <w:numPr>
                <w:ilvl w:val="0"/>
                <w:numId w:val="11"/>
              </w:numPr>
              <w:spacing w:before="40" w:after="40"/>
              <w:jc w:val="both"/>
              <w:rPr>
                <w:rFonts w:asciiTheme="minorHAnsi" w:hAnsiTheme="minorHAnsi" w:cstheme="minorHAnsi"/>
                <w:sz w:val="18"/>
                <w:szCs w:val="18"/>
              </w:rPr>
            </w:pPr>
            <w:r w:rsidRPr="00A54B1E">
              <w:rPr>
                <w:rFonts w:asciiTheme="minorHAnsi" w:hAnsiTheme="minorHAnsi" w:cstheme="minorHAnsi"/>
                <w:sz w:val="18"/>
                <w:szCs w:val="18"/>
              </w:rPr>
              <w:t>Send liaison statements to Working Parties 5A, 5B, 5C and 7B so that they can provide relevant information for the studies, including technical and operational characteristics and protection criteria for their respective existing primary services allocated in the same and adjacent frequency bands being studied under in 4A to be used in sharing and compatibility studies.</w:t>
            </w:r>
          </w:p>
          <w:p w:rsidR="007B5DBC" w:rsidRPr="00A54B1E" w:rsidRDefault="007B5DBC" w:rsidP="00A54B1E">
            <w:pPr>
              <w:pStyle w:val="ListParagraph"/>
              <w:numPr>
                <w:ilvl w:val="0"/>
                <w:numId w:val="11"/>
              </w:numPr>
              <w:spacing w:before="40" w:after="40"/>
              <w:jc w:val="both"/>
              <w:rPr>
                <w:rFonts w:asciiTheme="minorHAnsi" w:hAnsiTheme="minorHAnsi" w:cstheme="minorHAnsi"/>
                <w:sz w:val="18"/>
                <w:szCs w:val="18"/>
              </w:rPr>
            </w:pPr>
            <w:r w:rsidRPr="00A54B1E">
              <w:rPr>
                <w:rFonts w:asciiTheme="minorHAnsi" w:hAnsiTheme="minorHAnsi" w:cstheme="minorHAnsi"/>
                <w:sz w:val="18"/>
                <w:szCs w:val="18"/>
              </w:rPr>
              <w:t>Establish Correspondence Groups to progress the work between May and October 2020.</w:t>
            </w:r>
          </w:p>
          <w:p w:rsidR="007B5DBC" w:rsidRPr="00A54B1E" w:rsidRDefault="007B5DBC" w:rsidP="00A54B1E">
            <w:pPr>
              <w:pStyle w:val="ListParagraph"/>
              <w:numPr>
                <w:ilvl w:val="0"/>
                <w:numId w:val="11"/>
              </w:numPr>
              <w:spacing w:before="40" w:after="40"/>
              <w:jc w:val="both"/>
              <w:rPr>
                <w:rFonts w:asciiTheme="minorHAnsi" w:hAnsiTheme="minorHAnsi" w:cstheme="minorHAnsi"/>
                <w:sz w:val="18"/>
                <w:szCs w:val="18"/>
              </w:rPr>
            </w:pPr>
            <w:r w:rsidRPr="00A54B1E">
              <w:rPr>
                <w:rFonts w:asciiTheme="minorHAnsi" w:hAnsiTheme="minorHAnsi" w:cstheme="minorHAnsi"/>
                <w:sz w:val="18"/>
                <w:szCs w:val="18"/>
              </w:rPr>
              <w:t>Approve schedule for Correspondence Group activities.</w:t>
            </w:r>
          </w:p>
          <w:p w:rsidR="007B5DBC" w:rsidRPr="00A54B1E" w:rsidRDefault="007B5DBC" w:rsidP="00A54B1E">
            <w:pPr>
              <w:pStyle w:val="ListParagraph"/>
              <w:numPr>
                <w:ilvl w:val="0"/>
                <w:numId w:val="11"/>
              </w:numPr>
              <w:spacing w:before="40" w:after="40"/>
              <w:jc w:val="both"/>
              <w:rPr>
                <w:rFonts w:asciiTheme="minorHAnsi" w:hAnsiTheme="minorHAnsi" w:cstheme="minorHAnsi"/>
                <w:sz w:val="18"/>
                <w:szCs w:val="18"/>
              </w:rPr>
            </w:pPr>
            <w:r w:rsidRPr="00A54B1E">
              <w:rPr>
                <w:rFonts w:asciiTheme="minorHAnsi" w:hAnsiTheme="minorHAnsi" w:cstheme="minorHAnsi"/>
                <w:sz w:val="18"/>
                <w:szCs w:val="18"/>
              </w:rPr>
              <w:t>Correspondence Groups to operate in accordance with defined schedule to develop draft documents for further consideration at the October/November 2020 meeting of WP 4A.</w:t>
            </w:r>
          </w:p>
        </w:tc>
      </w:tr>
      <w:tr w:rsidR="007B5DBC" w:rsidRPr="00A54B1E" w:rsidTr="00CF4CB8">
        <w:trPr>
          <w:jc w:val="center"/>
        </w:trPr>
        <w:tc>
          <w:tcPr>
            <w:tcW w:w="1980" w:type="dxa"/>
            <w:tcBorders>
              <w:bottom w:val="single" w:sz="4" w:space="0" w:color="auto"/>
            </w:tcBorders>
          </w:tcPr>
          <w:p w:rsidR="007B5DBC" w:rsidRPr="00A54B1E" w:rsidRDefault="007B5DBC" w:rsidP="007B5DBC">
            <w:pPr>
              <w:spacing w:before="40" w:after="40"/>
              <w:jc w:val="center"/>
              <w:rPr>
                <w:rFonts w:asciiTheme="minorHAnsi" w:hAnsiTheme="minorHAnsi" w:cstheme="minorHAnsi"/>
                <w:sz w:val="18"/>
                <w:szCs w:val="18"/>
              </w:rPr>
            </w:pPr>
          </w:p>
          <w:p w:rsidR="007B5DBC" w:rsidRPr="00A54B1E" w:rsidRDefault="007B5DBC" w:rsidP="007B5DBC">
            <w:pPr>
              <w:spacing w:before="40" w:after="40"/>
              <w:jc w:val="center"/>
              <w:rPr>
                <w:rFonts w:asciiTheme="minorHAnsi" w:hAnsiTheme="minorHAnsi" w:cstheme="minorHAnsi"/>
                <w:sz w:val="18"/>
                <w:szCs w:val="18"/>
              </w:rPr>
            </w:pPr>
            <w:r w:rsidRPr="00A54B1E">
              <w:rPr>
                <w:rFonts w:asciiTheme="minorHAnsi" w:hAnsiTheme="minorHAnsi" w:cstheme="minorHAnsi"/>
                <w:sz w:val="18"/>
                <w:szCs w:val="18"/>
              </w:rPr>
              <w:t>2</w:t>
            </w:r>
            <w:r w:rsidRPr="00A54B1E">
              <w:rPr>
                <w:rFonts w:asciiTheme="minorHAnsi" w:hAnsiTheme="minorHAnsi" w:cstheme="minorHAnsi"/>
                <w:sz w:val="18"/>
                <w:szCs w:val="18"/>
                <w:vertAlign w:val="superscript"/>
              </w:rPr>
              <w:t>nd</w:t>
            </w:r>
            <w:r w:rsidRPr="00A54B1E">
              <w:rPr>
                <w:rFonts w:asciiTheme="minorHAnsi" w:hAnsiTheme="minorHAnsi" w:cstheme="minorHAnsi"/>
                <w:sz w:val="18"/>
                <w:szCs w:val="18"/>
              </w:rPr>
              <w:t xml:space="preserve"> WP 4A Meeting</w:t>
            </w:r>
          </w:p>
          <w:p w:rsidR="007B5DBC" w:rsidRPr="00A54B1E" w:rsidRDefault="007B5DBC" w:rsidP="007B5DBC">
            <w:pPr>
              <w:spacing w:before="40" w:after="40"/>
              <w:jc w:val="center"/>
              <w:rPr>
                <w:rFonts w:asciiTheme="minorHAnsi" w:hAnsiTheme="minorHAnsi" w:cstheme="minorHAnsi"/>
                <w:sz w:val="18"/>
                <w:szCs w:val="18"/>
              </w:rPr>
            </w:pPr>
            <w:r w:rsidRPr="00A54B1E">
              <w:rPr>
                <w:rFonts w:asciiTheme="minorHAnsi" w:hAnsiTheme="minorHAnsi" w:cstheme="minorHAnsi"/>
                <w:sz w:val="18"/>
                <w:szCs w:val="18"/>
              </w:rPr>
              <w:t xml:space="preserve">28 October to 5 November 2020 </w:t>
            </w:r>
          </w:p>
          <w:p w:rsidR="007B5DBC" w:rsidRPr="00A54B1E" w:rsidRDefault="007B5DBC" w:rsidP="007B5DBC">
            <w:pPr>
              <w:spacing w:before="40" w:after="40"/>
              <w:jc w:val="center"/>
              <w:rPr>
                <w:rFonts w:asciiTheme="minorHAnsi" w:hAnsiTheme="minorHAnsi" w:cstheme="minorHAnsi"/>
                <w:sz w:val="18"/>
                <w:szCs w:val="18"/>
              </w:rPr>
            </w:pPr>
            <w:r w:rsidRPr="00A54B1E">
              <w:rPr>
                <w:rFonts w:asciiTheme="minorHAnsi" w:hAnsiTheme="minorHAnsi" w:cstheme="minorHAnsi"/>
                <w:sz w:val="18"/>
                <w:szCs w:val="18"/>
              </w:rPr>
              <w:t>Meeting #2 2020</w:t>
            </w:r>
          </w:p>
          <w:p w:rsidR="007B5DBC" w:rsidRPr="00A54B1E" w:rsidRDefault="007B5DBC" w:rsidP="007B5DBC">
            <w:pPr>
              <w:spacing w:before="40" w:after="40"/>
              <w:jc w:val="center"/>
              <w:rPr>
                <w:rFonts w:asciiTheme="minorHAnsi" w:hAnsiTheme="minorHAnsi" w:cstheme="minorHAnsi"/>
                <w:sz w:val="18"/>
                <w:szCs w:val="18"/>
              </w:rPr>
            </w:pPr>
          </w:p>
        </w:tc>
        <w:tc>
          <w:tcPr>
            <w:tcW w:w="8505" w:type="dxa"/>
            <w:tcBorders>
              <w:bottom w:val="single" w:sz="4" w:space="0" w:color="auto"/>
            </w:tcBorders>
          </w:tcPr>
          <w:p w:rsidR="007B5DBC" w:rsidRPr="00A54B1E" w:rsidRDefault="007B5DBC" w:rsidP="00A54B1E">
            <w:pPr>
              <w:pStyle w:val="ListParagraph"/>
              <w:numPr>
                <w:ilvl w:val="0"/>
                <w:numId w:val="12"/>
              </w:numPr>
              <w:spacing w:before="40" w:after="40"/>
              <w:jc w:val="both"/>
              <w:rPr>
                <w:rFonts w:asciiTheme="minorHAnsi" w:hAnsiTheme="minorHAnsi" w:cstheme="minorHAnsi"/>
                <w:sz w:val="18"/>
                <w:szCs w:val="18"/>
              </w:rPr>
            </w:pPr>
            <w:r w:rsidRPr="00A54B1E">
              <w:rPr>
                <w:rFonts w:asciiTheme="minorHAnsi" w:hAnsiTheme="minorHAnsi" w:cstheme="minorHAnsi"/>
                <w:sz w:val="18"/>
                <w:szCs w:val="18"/>
              </w:rPr>
              <w:t>Begin Compilation of parameters/criteria received in response to liaison statements/contributions to WP 4A.</w:t>
            </w:r>
          </w:p>
          <w:p w:rsidR="007B5DBC" w:rsidRPr="00A54B1E" w:rsidRDefault="007B5DBC" w:rsidP="00A54B1E">
            <w:pPr>
              <w:pStyle w:val="Tabletext"/>
              <w:numPr>
                <w:ilvl w:val="0"/>
                <w:numId w:val="12"/>
              </w:numPr>
              <w:tabs>
                <w:tab w:val="clear" w:pos="284"/>
                <w:tab w:val="left" w:pos="460"/>
                <w:tab w:val="left" w:pos="1871"/>
              </w:tabs>
              <w:jc w:val="both"/>
              <w:rPr>
                <w:rFonts w:asciiTheme="minorHAnsi" w:hAnsiTheme="minorHAnsi" w:cstheme="minorHAnsi"/>
                <w:sz w:val="18"/>
                <w:szCs w:val="18"/>
              </w:rPr>
            </w:pPr>
            <w:r w:rsidRPr="00A54B1E">
              <w:rPr>
                <w:rFonts w:asciiTheme="minorHAnsi" w:hAnsiTheme="minorHAnsi" w:cstheme="minorHAnsi"/>
                <w:sz w:val="18"/>
                <w:szCs w:val="18"/>
              </w:rPr>
              <w:t>Establish technical characteristics for the various services under studies to be used in compatibility studies.</w:t>
            </w:r>
          </w:p>
          <w:p w:rsidR="007B5DBC" w:rsidRPr="00A54B1E" w:rsidRDefault="007B5DBC" w:rsidP="00A54B1E">
            <w:pPr>
              <w:pStyle w:val="Tabletext"/>
              <w:numPr>
                <w:ilvl w:val="0"/>
                <w:numId w:val="12"/>
              </w:numPr>
              <w:tabs>
                <w:tab w:val="clear" w:pos="284"/>
                <w:tab w:val="left" w:pos="460"/>
                <w:tab w:val="left" w:pos="1871"/>
              </w:tabs>
              <w:jc w:val="both"/>
              <w:rPr>
                <w:rFonts w:asciiTheme="minorHAnsi" w:hAnsiTheme="minorHAnsi" w:cstheme="minorHAnsi"/>
                <w:sz w:val="18"/>
                <w:szCs w:val="18"/>
              </w:rPr>
            </w:pPr>
            <w:r w:rsidRPr="00A54B1E">
              <w:rPr>
                <w:rFonts w:asciiTheme="minorHAnsi" w:hAnsiTheme="minorHAnsi" w:cstheme="minorHAnsi"/>
                <w:sz w:val="18"/>
                <w:szCs w:val="18"/>
              </w:rPr>
              <w:t>Initiate sharing and compatibility studies between these services and other primary services in adjacent frequency bands.</w:t>
            </w:r>
          </w:p>
          <w:p w:rsidR="007B5DBC" w:rsidRPr="00A54B1E" w:rsidRDefault="007B5DBC" w:rsidP="00A54B1E">
            <w:pPr>
              <w:pStyle w:val="ListParagraph"/>
              <w:numPr>
                <w:ilvl w:val="0"/>
                <w:numId w:val="12"/>
              </w:numPr>
              <w:spacing w:before="40" w:after="40"/>
              <w:jc w:val="both"/>
              <w:rPr>
                <w:rFonts w:asciiTheme="minorHAnsi" w:hAnsiTheme="minorHAnsi" w:cstheme="minorHAnsi"/>
                <w:sz w:val="18"/>
                <w:szCs w:val="18"/>
              </w:rPr>
            </w:pPr>
            <w:r w:rsidRPr="00A54B1E">
              <w:rPr>
                <w:rFonts w:asciiTheme="minorHAnsi" w:hAnsiTheme="minorHAnsi" w:cstheme="minorHAnsi"/>
                <w:sz w:val="18"/>
                <w:szCs w:val="18"/>
              </w:rPr>
              <w:t>Liaise with relevant Working Parties, as and if needed.</w:t>
            </w:r>
          </w:p>
          <w:p w:rsidR="007B5DBC" w:rsidRPr="00A54B1E" w:rsidRDefault="007B5DBC" w:rsidP="00A54B1E">
            <w:pPr>
              <w:pStyle w:val="ListParagraph"/>
              <w:numPr>
                <w:ilvl w:val="0"/>
                <w:numId w:val="12"/>
              </w:numPr>
              <w:spacing w:before="40" w:after="40"/>
              <w:jc w:val="both"/>
              <w:rPr>
                <w:rFonts w:asciiTheme="minorHAnsi" w:hAnsiTheme="minorHAnsi" w:cstheme="minorHAnsi"/>
                <w:sz w:val="18"/>
                <w:szCs w:val="18"/>
              </w:rPr>
            </w:pPr>
            <w:r w:rsidRPr="00A54B1E">
              <w:rPr>
                <w:rFonts w:asciiTheme="minorHAnsi" w:hAnsiTheme="minorHAnsi" w:cstheme="minorHAnsi"/>
                <w:sz w:val="18"/>
                <w:szCs w:val="18"/>
              </w:rPr>
              <w:t>Initiate work on draft CPM text.</w:t>
            </w:r>
          </w:p>
          <w:p w:rsidR="007B5DBC" w:rsidRPr="00A54B1E" w:rsidRDefault="007B5DBC" w:rsidP="00A54B1E">
            <w:pPr>
              <w:pStyle w:val="ListParagraph"/>
              <w:numPr>
                <w:ilvl w:val="0"/>
                <w:numId w:val="12"/>
              </w:numPr>
              <w:spacing w:before="40" w:after="40"/>
              <w:jc w:val="both"/>
              <w:rPr>
                <w:rFonts w:asciiTheme="minorHAnsi" w:hAnsiTheme="minorHAnsi" w:cstheme="minorHAnsi"/>
                <w:sz w:val="18"/>
                <w:szCs w:val="18"/>
              </w:rPr>
            </w:pPr>
            <w:r w:rsidRPr="00A54B1E">
              <w:rPr>
                <w:rFonts w:asciiTheme="minorHAnsi" w:hAnsiTheme="minorHAnsi" w:cstheme="minorHAnsi"/>
                <w:sz w:val="18"/>
                <w:szCs w:val="18"/>
              </w:rPr>
              <w:t>Agree work plan.</w:t>
            </w:r>
          </w:p>
        </w:tc>
      </w:tr>
      <w:tr w:rsidR="00F3680F" w:rsidRPr="00A54B1E" w:rsidTr="00CF4CB8">
        <w:trPr>
          <w:jc w:val="center"/>
        </w:trPr>
        <w:tc>
          <w:tcPr>
            <w:tcW w:w="10485" w:type="dxa"/>
            <w:gridSpan w:val="2"/>
            <w:tcBorders>
              <w:top w:val="single" w:sz="4" w:space="0" w:color="auto"/>
            </w:tcBorders>
            <w:shd w:val="clear" w:color="auto" w:fill="D9D9D9" w:themeFill="background1" w:themeFillShade="D9"/>
          </w:tcPr>
          <w:p w:rsidR="00F3680F" w:rsidRPr="00A54B1E" w:rsidRDefault="00F3680F" w:rsidP="00AC70E9">
            <w:pPr>
              <w:spacing w:before="40" w:after="40"/>
              <w:jc w:val="center"/>
              <w:rPr>
                <w:rFonts w:asciiTheme="minorHAnsi" w:hAnsiTheme="minorHAnsi" w:cstheme="minorHAnsi"/>
                <w:b/>
                <w:bCs/>
                <w:sz w:val="18"/>
                <w:szCs w:val="18"/>
              </w:rPr>
            </w:pPr>
            <w:r w:rsidRPr="00A54B1E">
              <w:rPr>
                <w:rFonts w:asciiTheme="minorHAnsi" w:hAnsiTheme="minorHAnsi" w:cstheme="minorHAnsi"/>
                <w:b/>
                <w:bCs/>
                <w:sz w:val="18"/>
                <w:szCs w:val="18"/>
              </w:rPr>
              <w:t>2021</w:t>
            </w:r>
          </w:p>
        </w:tc>
      </w:tr>
      <w:tr w:rsidR="007B5DBC" w:rsidRPr="00A54B1E" w:rsidTr="00CF4CB8">
        <w:trPr>
          <w:jc w:val="center"/>
        </w:trPr>
        <w:tc>
          <w:tcPr>
            <w:tcW w:w="1980" w:type="dxa"/>
            <w:tcBorders>
              <w:bottom w:val="single" w:sz="4" w:space="0" w:color="auto"/>
            </w:tcBorders>
          </w:tcPr>
          <w:p w:rsidR="007B5DBC" w:rsidRDefault="007B5DBC" w:rsidP="007B5DBC">
            <w:pPr>
              <w:spacing w:before="40" w:after="40"/>
              <w:jc w:val="center"/>
              <w:rPr>
                <w:rFonts w:asciiTheme="minorHAnsi" w:hAnsiTheme="minorHAnsi" w:cstheme="minorHAnsi"/>
                <w:sz w:val="18"/>
                <w:szCs w:val="18"/>
              </w:rPr>
            </w:pPr>
            <w:r w:rsidRPr="00A54B1E">
              <w:rPr>
                <w:rFonts w:asciiTheme="minorHAnsi" w:hAnsiTheme="minorHAnsi" w:cstheme="minorHAnsi"/>
                <w:sz w:val="18"/>
                <w:szCs w:val="18"/>
              </w:rPr>
              <w:t>3</w:t>
            </w:r>
            <w:r w:rsidRPr="00A54B1E">
              <w:rPr>
                <w:rFonts w:asciiTheme="minorHAnsi" w:hAnsiTheme="minorHAnsi" w:cstheme="minorHAnsi"/>
                <w:sz w:val="18"/>
                <w:szCs w:val="18"/>
                <w:vertAlign w:val="superscript"/>
              </w:rPr>
              <w:t>nd</w:t>
            </w:r>
            <w:r w:rsidRPr="00A54B1E">
              <w:rPr>
                <w:rFonts w:asciiTheme="minorHAnsi" w:hAnsiTheme="minorHAnsi" w:cstheme="minorHAnsi"/>
                <w:sz w:val="18"/>
                <w:szCs w:val="18"/>
              </w:rPr>
              <w:t xml:space="preserve"> WP 4A Meeting</w:t>
            </w:r>
          </w:p>
          <w:p w:rsidR="00186525" w:rsidRPr="00A54B1E" w:rsidRDefault="00186525" w:rsidP="00186525">
            <w:pPr>
              <w:spacing w:before="40" w:after="40"/>
              <w:jc w:val="center"/>
              <w:rPr>
                <w:rFonts w:asciiTheme="minorHAnsi" w:hAnsiTheme="minorHAnsi" w:cstheme="minorHAnsi"/>
                <w:sz w:val="18"/>
                <w:szCs w:val="18"/>
              </w:rPr>
            </w:pPr>
            <w:r>
              <w:rPr>
                <w:rFonts w:asciiTheme="minorHAnsi" w:hAnsiTheme="minorHAnsi" w:cstheme="minorHAnsi"/>
                <w:sz w:val="18"/>
                <w:szCs w:val="18"/>
              </w:rPr>
              <w:t>24</w:t>
            </w:r>
            <w:r w:rsidRPr="00A54B1E">
              <w:rPr>
                <w:rFonts w:asciiTheme="minorHAnsi" w:hAnsiTheme="minorHAnsi" w:cstheme="minorHAnsi"/>
                <w:sz w:val="18"/>
                <w:szCs w:val="18"/>
              </w:rPr>
              <w:t xml:space="preserve"> </w:t>
            </w:r>
            <w:r>
              <w:rPr>
                <w:rFonts w:asciiTheme="minorHAnsi" w:hAnsiTheme="minorHAnsi" w:cstheme="minorHAnsi"/>
                <w:sz w:val="18"/>
                <w:szCs w:val="18"/>
              </w:rPr>
              <w:t>February</w:t>
            </w:r>
            <w:r w:rsidRPr="00A54B1E">
              <w:rPr>
                <w:rFonts w:asciiTheme="minorHAnsi" w:hAnsiTheme="minorHAnsi" w:cstheme="minorHAnsi"/>
                <w:sz w:val="18"/>
                <w:szCs w:val="18"/>
              </w:rPr>
              <w:t xml:space="preserve"> to </w:t>
            </w:r>
            <w:r>
              <w:rPr>
                <w:rFonts w:asciiTheme="minorHAnsi" w:hAnsiTheme="minorHAnsi" w:cstheme="minorHAnsi"/>
                <w:sz w:val="18"/>
                <w:szCs w:val="18"/>
              </w:rPr>
              <w:t>3 March 2021</w:t>
            </w:r>
            <w:r w:rsidRPr="00A54B1E">
              <w:rPr>
                <w:rFonts w:asciiTheme="minorHAnsi" w:hAnsiTheme="minorHAnsi" w:cstheme="minorHAnsi"/>
                <w:sz w:val="18"/>
                <w:szCs w:val="18"/>
              </w:rPr>
              <w:t xml:space="preserve"> </w:t>
            </w:r>
          </w:p>
          <w:p w:rsidR="007B5DBC" w:rsidRPr="00A54B1E" w:rsidRDefault="007B5DBC" w:rsidP="007B5DBC">
            <w:pPr>
              <w:spacing w:before="40" w:after="40"/>
              <w:jc w:val="center"/>
              <w:rPr>
                <w:rFonts w:asciiTheme="minorHAnsi" w:hAnsiTheme="minorHAnsi" w:cstheme="minorHAnsi"/>
                <w:sz w:val="18"/>
                <w:szCs w:val="18"/>
              </w:rPr>
            </w:pPr>
            <w:r w:rsidRPr="00A54B1E">
              <w:rPr>
                <w:rFonts w:asciiTheme="minorHAnsi" w:hAnsiTheme="minorHAnsi" w:cstheme="minorHAnsi"/>
                <w:sz w:val="18"/>
                <w:szCs w:val="18"/>
              </w:rPr>
              <w:t>Meeting #1 2021</w:t>
            </w:r>
          </w:p>
        </w:tc>
        <w:tc>
          <w:tcPr>
            <w:tcW w:w="8505" w:type="dxa"/>
            <w:tcBorders>
              <w:bottom w:val="single" w:sz="4" w:space="0" w:color="auto"/>
            </w:tcBorders>
          </w:tcPr>
          <w:p w:rsidR="007B5DBC" w:rsidRPr="00A54B1E" w:rsidRDefault="007B5DBC" w:rsidP="00A54B1E">
            <w:pPr>
              <w:pStyle w:val="ListParagraph"/>
              <w:numPr>
                <w:ilvl w:val="0"/>
                <w:numId w:val="13"/>
              </w:numPr>
              <w:spacing w:before="40" w:after="40"/>
              <w:jc w:val="both"/>
              <w:rPr>
                <w:rFonts w:asciiTheme="minorHAnsi" w:hAnsiTheme="minorHAnsi" w:cstheme="minorHAnsi"/>
                <w:sz w:val="18"/>
                <w:szCs w:val="18"/>
              </w:rPr>
            </w:pPr>
            <w:r w:rsidRPr="00A54B1E">
              <w:rPr>
                <w:rFonts w:asciiTheme="minorHAnsi" w:hAnsiTheme="minorHAnsi" w:cstheme="minorHAnsi"/>
                <w:sz w:val="18"/>
                <w:szCs w:val="18"/>
              </w:rPr>
              <w:t xml:space="preserve">Continue sharing and compatibility studies between the services under studies at 4A </w:t>
            </w:r>
            <w:r w:rsidRPr="00A54B1E">
              <w:rPr>
                <w:rFonts w:asciiTheme="minorHAnsi" w:hAnsiTheme="minorHAnsi" w:cstheme="minorHAnsi"/>
                <w:sz w:val="18"/>
                <w:szCs w:val="18"/>
                <w:lang w:val="en-US"/>
              </w:rPr>
              <w:t xml:space="preserve">and other </w:t>
            </w:r>
            <w:r w:rsidR="008D1C27" w:rsidRPr="00A54B1E">
              <w:rPr>
                <w:rFonts w:asciiTheme="minorHAnsi" w:hAnsiTheme="minorHAnsi" w:cstheme="minorHAnsi"/>
                <w:sz w:val="18"/>
                <w:szCs w:val="18"/>
                <w:lang w:val="en-US"/>
              </w:rPr>
              <w:t xml:space="preserve">incumbent </w:t>
            </w:r>
            <w:r w:rsidRPr="00A54B1E">
              <w:rPr>
                <w:rFonts w:asciiTheme="minorHAnsi" w:hAnsiTheme="minorHAnsi" w:cstheme="minorHAnsi"/>
                <w:sz w:val="18"/>
                <w:szCs w:val="18"/>
                <w:lang w:val="en-US"/>
              </w:rPr>
              <w:t xml:space="preserve">primary services </w:t>
            </w:r>
            <w:r w:rsidR="008D1C27" w:rsidRPr="00A54B1E">
              <w:rPr>
                <w:rFonts w:asciiTheme="minorHAnsi" w:hAnsiTheme="minorHAnsi" w:cstheme="minorHAnsi"/>
                <w:sz w:val="18"/>
                <w:szCs w:val="18"/>
                <w:lang w:val="en-US"/>
              </w:rPr>
              <w:t xml:space="preserve">and those </w:t>
            </w:r>
            <w:r w:rsidRPr="00A54B1E">
              <w:rPr>
                <w:rFonts w:asciiTheme="minorHAnsi" w:hAnsiTheme="minorHAnsi" w:cstheme="minorHAnsi"/>
                <w:sz w:val="18"/>
                <w:szCs w:val="18"/>
                <w:lang w:val="en-US"/>
              </w:rPr>
              <w:t>in adjacent frequency bands</w:t>
            </w:r>
            <w:r w:rsidRPr="00A54B1E">
              <w:rPr>
                <w:rFonts w:asciiTheme="minorHAnsi" w:hAnsiTheme="minorHAnsi" w:cstheme="minorHAnsi"/>
                <w:sz w:val="18"/>
                <w:szCs w:val="18"/>
              </w:rPr>
              <w:t>.</w:t>
            </w:r>
          </w:p>
          <w:p w:rsidR="007B5DBC" w:rsidRPr="00A54B1E" w:rsidRDefault="007B5DBC" w:rsidP="00A54B1E">
            <w:pPr>
              <w:pStyle w:val="ListParagraph"/>
              <w:numPr>
                <w:ilvl w:val="0"/>
                <w:numId w:val="13"/>
              </w:numPr>
              <w:spacing w:before="40" w:after="40"/>
              <w:jc w:val="both"/>
              <w:rPr>
                <w:rFonts w:asciiTheme="minorHAnsi" w:hAnsiTheme="minorHAnsi" w:cstheme="minorHAnsi"/>
                <w:sz w:val="18"/>
                <w:szCs w:val="18"/>
              </w:rPr>
            </w:pPr>
            <w:r w:rsidRPr="00A54B1E">
              <w:rPr>
                <w:rFonts w:asciiTheme="minorHAnsi" w:hAnsiTheme="minorHAnsi" w:cstheme="minorHAnsi"/>
                <w:sz w:val="18"/>
                <w:szCs w:val="18"/>
              </w:rPr>
              <w:t>Liaise with relevant Working Parties, as and if needed.</w:t>
            </w:r>
          </w:p>
          <w:p w:rsidR="007B5DBC" w:rsidRPr="00A54B1E" w:rsidRDefault="007B5DBC" w:rsidP="00A54B1E">
            <w:pPr>
              <w:pStyle w:val="ListParagraph"/>
              <w:numPr>
                <w:ilvl w:val="0"/>
                <w:numId w:val="13"/>
              </w:numPr>
              <w:spacing w:before="40" w:after="40"/>
              <w:jc w:val="both"/>
              <w:rPr>
                <w:rFonts w:asciiTheme="minorHAnsi" w:hAnsiTheme="minorHAnsi" w:cstheme="minorHAnsi"/>
                <w:sz w:val="18"/>
                <w:szCs w:val="18"/>
              </w:rPr>
            </w:pPr>
            <w:r w:rsidRPr="00A54B1E">
              <w:rPr>
                <w:rFonts w:asciiTheme="minorHAnsi" w:hAnsiTheme="minorHAnsi" w:cstheme="minorHAnsi"/>
                <w:sz w:val="18"/>
                <w:szCs w:val="18"/>
              </w:rPr>
              <w:t>Update draft CPM text.</w:t>
            </w:r>
          </w:p>
          <w:p w:rsidR="007B5DBC" w:rsidRPr="00A54B1E" w:rsidRDefault="007B5DBC" w:rsidP="00A54B1E">
            <w:pPr>
              <w:pStyle w:val="ListParagraph"/>
              <w:numPr>
                <w:ilvl w:val="0"/>
                <w:numId w:val="13"/>
              </w:numPr>
              <w:spacing w:before="40" w:after="40"/>
              <w:jc w:val="both"/>
              <w:rPr>
                <w:rFonts w:asciiTheme="minorHAnsi" w:hAnsiTheme="minorHAnsi" w:cstheme="minorHAnsi"/>
                <w:sz w:val="18"/>
                <w:szCs w:val="18"/>
              </w:rPr>
            </w:pPr>
            <w:r w:rsidRPr="00A54B1E">
              <w:rPr>
                <w:rFonts w:asciiTheme="minorHAnsi" w:hAnsiTheme="minorHAnsi" w:cstheme="minorHAnsi"/>
                <w:sz w:val="18"/>
                <w:szCs w:val="18"/>
              </w:rPr>
              <w:t>Revise the work plan, if necessary.</w:t>
            </w:r>
          </w:p>
        </w:tc>
      </w:tr>
      <w:tr w:rsidR="007B5DBC" w:rsidRPr="00A54B1E" w:rsidTr="00CF4CB8">
        <w:trPr>
          <w:jc w:val="center"/>
        </w:trPr>
        <w:tc>
          <w:tcPr>
            <w:tcW w:w="1980" w:type="dxa"/>
            <w:tcBorders>
              <w:bottom w:val="single" w:sz="4" w:space="0" w:color="auto"/>
            </w:tcBorders>
          </w:tcPr>
          <w:p w:rsidR="007B5DBC" w:rsidRPr="00A54B1E" w:rsidRDefault="007B5DBC" w:rsidP="007B5DBC">
            <w:pPr>
              <w:spacing w:before="40" w:after="40"/>
              <w:jc w:val="center"/>
              <w:rPr>
                <w:rFonts w:asciiTheme="minorHAnsi" w:hAnsiTheme="minorHAnsi" w:cstheme="minorHAnsi"/>
                <w:sz w:val="18"/>
                <w:szCs w:val="18"/>
              </w:rPr>
            </w:pPr>
            <w:r w:rsidRPr="00A54B1E">
              <w:rPr>
                <w:rFonts w:asciiTheme="minorHAnsi" w:hAnsiTheme="minorHAnsi" w:cstheme="minorHAnsi"/>
                <w:sz w:val="18"/>
                <w:szCs w:val="18"/>
              </w:rPr>
              <w:t>4</w:t>
            </w:r>
            <w:r w:rsidRPr="00A54B1E">
              <w:rPr>
                <w:rFonts w:asciiTheme="minorHAnsi" w:hAnsiTheme="minorHAnsi" w:cstheme="minorHAnsi"/>
                <w:sz w:val="18"/>
                <w:szCs w:val="18"/>
                <w:vertAlign w:val="superscript"/>
              </w:rPr>
              <w:t>th</w:t>
            </w:r>
            <w:r w:rsidRPr="00A54B1E">
              <w:rPr>
                <w:rFonts w:asciiTheme="minorHAnsi" w:hAnsiTheme="minorHAnsi" w:cstheme="minorHAnsi"/>
                <w:sz w:val="18"/>
                <w:szCs w:val="18"/>
              </w:rPr>
              <w:t xml:space="preserve"> WP 4A Meeting</w:t>
            </w:r>
          </w:p>
          <w:p w:rsidR="007B5DBC" w:rsidRPr="00A54B1E" w:rsidRDefault="007B5DBC" w:rsidP="007B5DBC">
            <w:pPr>
              <w:spacing w:before="40" w:after="40"/>
              <w:jc w:val="center"/>
              <w:rPr>
                <w:rFonts w:asciiTheme="minorHAnsi" w:hAnsiTheme="minorHAnsi" w:cstheme="minorHAnsi"/>
                <w:sz w:val="18"/>
                <w:szCs w:val="18"/>
              </w:rPr>
            </w:pPr>
            <w:r w:rsidRPr="00A54B1E">
              <w:rPr>
                <w:rFonts w:asciiTheme="minorHAnsi" w:hAnsiTheme="minorHAnsi" w:cstheme="minorHAnsi"/>
                <w:sz w:val="18"/>
                <w:szCs w:val="18"/>
              </w:rPr>
              <w:t>Meeting #2 2021</w:t>
            </w:r>
          </w:p>
        </w:tc>
        <w:tc>
          <w:tcPr>
            <w:tcW w:w="8505" w:type="dxa"/>
            <w:tcBorders>
              <w:bottom w:val="single" w:sz="4" w:space="0" w:color="auto"/>
            </w:tcBorders>
          </w:tcPr>
          <w:p w:rsidR="00AD56E6" w:rsidRPr="00A54B1E" w:rsidRDefault="00AD56E6" w:rsidP="00A54B1E">
            <w:pPr>
              <w:pStyle w:val="ListParagraph"/>
              <w:numPr>
                <w:ilvl w:val="0"/>
                <w:numId w:val="14"/>
              </w:numPr>
              <w:spacing w:before="40" w:after="40"/>
              <w:jc w:val="both"/>
              <w:rPr>
                <w:rFonts w:asciiTheme="minorHAnsi" w:hAnsiTheme="minorHAnsi" w:cstheme="minorHAnsi"/>
                <w:sz w:val="18"/>
                <w:szCs w:val="18"/>
              </w:rPr>
            </w:pPr>
            <w:r w:rsidRPr="00A54B1E">
              <w:rPr>
                <w:rFonts w:asciiTheme="minorHAnsi" w:hAnsiTheme="minorHAnsi" w:cstheme="minorHAnsi"/>
                <w:sz w:val="18"/>
                <w:szCs w:val="18"/>
              </w:rPr>
              <w:t xml:space="preserve">Continue sharing and compatibility studies between the services under studies at 4A </w:t>
            </w:r>
            <w:r w:rsidRPr="00A54B1E">
              <w:rPr>
                <w:rFonts w:asciiTheme="minorHAnsi" w:hAnsiTheme="minorHAnsi" w:cstheme="minorHAnsi"/>
                <w:sz w:val="18"/>
                <w:szCs w:val="18"/>
                <w:lang w:val="en-US"/>
              </w:rPr>
              <w:t>and other incumbent primary services and those in adjacent frequency bands</w:t>
            </w:r>
            <w:r w:rsidRPr="00A54B1E">
              <w:rPr>
                <w:rFonts w:asciiTheme="minorHAnsi" w:hAnsiTheme="minorHAnsi" w:cstheme="minorHAnsi"/>
                <w:sz w:val="18"/>
                <w:szCs w:val="18"/>
              </w:rPr>
              <w:t>.</w:t>
            </w:r>
          </w:p>
          <w:p w:rsidR="007B5DBC" w:rsidRPr="00A54B1E" w:rsidRDefault="007B5DBC" w:rsidP="00A54B1E">
            <w:pPr>
              <w:pStyle w:val="ListParagraph"/>
              <w:numPr>
                <w:ilvl w:val="0"/>
                <w:numId w:val="14"/>
              </w:numPr>
              <w:spacing w:before="40" w:after="40"/>
              <w:jc w:val="both"/>
              <w:rPr>
                <w:rFonts w:asciiTheme="minorHAnsi" w:hAnsiTheme="minorHAnsi" w:cstheme="minorHAnsi"/>
                <w:sz w:val="18"/>
                <w:szCs w:val="18"/>
              </w:rPr>
            </w:pPr>
            <w:r w:rsidRPr="00A54B1E">
              <w:rPr>
                <w:rFonts w:asciiTheme="minorHAnsi" w:hAnsiTheme="minorHAnsi" w:cstheme="minorHAnsi"/>
                <w:sz w:val="18"/>
                <w:szCs w:val="18"/>
              </w:rPr>
              <w:t>Liaise preliminary study results, potential mitigation measures to relevant Working Parties.</w:t>
            </w:r>
          </w:p>
          <w:p w:rsidR="007B5DBC" w:rsidRPr="00A54B1E" w:rsidRDefault="007B5DBC" w:rsidP="00A54B1E">
            <w:pPr>
              <w:pStyle w:val="ListParagraph"/>
              <w:numPr>
                <w:ilvl w:val="0"/>
                <w:numId w:val="14"/>
              </w:numPr>
              <w:spacing w:before="40" w:after="40"/>
              <w:jc w:val="both"/>
              <w:rPr>
                <w:rFonts w:asciiTheme="minorHAnsi" w:hAnsiTheme="minorHAnsi" w:cstheme="minorHAnsi"/>
                <w:sz w:val="18"/>
                <w:szCs w:val="18"/>
              </w:rPr>
            </w:pPr>
            <w:r w:rsidRPr="00A54B1E">
              <w:rPr>
                <w:rFonts w:asciiTheme="minorHAnsi" w:hAnsiTheme="minorHAnsi" w:cstheme="minorHAnsi"/>
                <w:sz w:val="18"/>
                <w:szCs w:val="18"/>
              </w:rPr>
              <w:t>Update draft CPM text.</w:t>
            </w:r>
          </w:p>
          <w:p w:rsidR="007B5DBC" w:rsidRPr="00A54B1E" w:rsidRDefault="007B5DBC" w:rsidP="00A54B1E">
            <w:pPr>
              <w:pStyle w:val="ListParagraph"/>
              <w:numPr>
                <w:ilvl w:val="0"/>
                <w:numId w:val="14"/>
              </w:numPr>
              <w:spacing w:before="40" w:after="40"/>
              <w:jc w:val="both"/>
              <w:rPr>
                <w:rFonts w:asciiTheme="minorHAnsi" w:hAnsiTheme="minorHAnsi" w:cstheme="minorHAnsi"/>
                <w:sz w:val="18"/>
                <w:szCs w:val="18"/>
              </w:rPr>
            </w:pPr>
            <w:r w:rsidRPr="00A54B1E">
              <w:rPr>
                <w:rFonts w:asciiTheme="minorHAnsi" w:hAnsiTheme="minorHAnsi" w:cstheme="minorHAnsi"/>
                <w:sz w:val="18"/>
                <w:szCs w:val="18"/>
              </w:rPr>
              <w:t>Revise work plan, if necessary.</w:t>
            </w:r>
          </w:p>
        </w:tc>
      </w:tr>
      <w:tr w:rsidR="007B5DBC" w:rsidRPr="00A54B1E" w:rsidTr="00CF4CB8">
        <w:trPr>
          <w:jc w:val="center"/>
        </w:trPr>
        <w:tc>
          <w:tcPr>
            <w:tcW w:w="1980" w:type="dxa"/>
            <w:tcBorders>
              <w:bottom w:val="single" w:sz="4" w:space="0" w:color="auto"/>
            </w:tcBorders>
          </w:tcPr>
          <w:p w:rsidR="007B5DBC" w:rsidRPr="00A54B1E" w:rsidRDefault="007B5DBC" w:rsidP="007B5DBC">
            <w:pPr>
              <w:spacing w:before="40" w:after="40"/>
              <w:jc w:val="center"/>
              <w:rPr>
                <w:rFonts w:asciiTheme="minorHAnsi" w:hAnsiTheme="minorHAnsi" w:cstheme="minorHAnsi"/>
                <w:sz w:val="18"/>
                <w:szCs w:val="18"/>
              </w:rPr>
            </w:pPr>
            <w:r w:rsidRPr="00A54B1E">
              <w:rPr>
                <w:rFonts w:asciiTheme="minorHAnsi" w:hAnsiTheme="minorHAnsi" w:cstheme="minorHAnsi"/>
                <w:sz w:val="18"/>
                <w:szCs w:val="18"/>
              </w:rPr>
              <w:t>5</w:t>
            </w:r>
            <w:r w:rsidRPr="00A54B1E">
              <w:rPr>
                <w:rFonts w:asciiTheme="minorHAnsi" w:hAnsiTheme="minorHAnsi" w:cstheme="minorHAnsi"/>
                <w:sz w:val="18"/>
                <w:szCs w:val="18"/>
                <w:vertAlign w:val="superscript"/>
              </w:rPr>
              <w:t>th</w:t>
            </w:r>
            <w:r w:rsidRPr="00A54B1E">
              <w:rPr>
                <w:rFonts w:asciiTheme="minorHAnsi" w:hAnsiTheme="minorHAnsi" w:cstheme="minorHAnsi"/>
                <w:sz w:val="18"/>
                <w:szCs w:val="18"/>
              </w:rPr>
              <w:t xml:space="preserve"> WP 4A Meeting</w:t>
            </w:r>
          </w:p>
          <w:p w:rsidR="007B5DBC" w:rsidRPr="00A54B1E" w:rsidRDefault="007B5DBC" w:rsidP="007B5DBC">
            <w:pPr>
              <w:spacing w:before="40" w:after="40"/>
              <w:jc w:val="center"/>
              <w:rPr>
                <w:rFonts w:asciiTheme="minorHAnsi" w:hAnsiTheme="minorHAnsi" w:cstheme="minorHAnsi"/>
                <w:sz w:val="18"/>
                <w:szCs w:val="18"/>
              </w:rPr>
            </w:pPr>
            <w:r w:rsidRPr="00A54B1E">
              <w:rPr>
                <w:rFonts w:asciiTheme="minorHAnsi" w:hAnsiTheme="minorHAnsi" w:cstheme="minorHAnsi"/>
                <w:sz w:val="18"/>
                <w:szCs w:val="18"/>
              </w:rPr>
              <w:t>Meeting #3 2021</w:t>
            </w:r>
          </w:p>
          <w:p w:rsidR="007B5DBC" w:rsidRPr="00A54B1E" w:rsidRDefault="007B5DBC" w:rsidP="007B5DBC">
            <w:pPr>
              <w:spacing w:before="40" w:after="40"/>
              <w:jc w:val="center"/>
              <w:rPr>
                <w:rFonts w:asciiTheme="minorHAnsi" w:hAnsiTheme="minorHAnsi" w:cstheme="minorHAnsi"/>
                <w:sz w:val="18"/>
                <w:szCs w:val="18"/>
              </w:rPr>
            </w:pPr>
            <w:r w:rsidRPr="00A54B1E">
              <w:rPr>
                <w:rFonts w:asciiTheme="minorHAnsi" w:hAnsiTheme="minorHAnsi" w:cstheme="minorHAnsi"/>
                <w:sz w:val="18"/>
                <w:szCs w:val="18"/>
              </w:rPr>
              <w:t>(If scheduled)</w:t>
            </w:r>
          </w:p>
        </w:tc>
        <w:tc>
          <w:tcPr>
            <w:tcW w:w="8505" w:type="dxa"/>
            <w:tcBorders>
              <w:bottom w:val="single" w:sz="4" w:space="0" w:color="auto"/>
            </w:tcBorders>
          </w:tcPr>
          <w:p w:rsidR="00AD56E6" w:rsidRPr="00A54B1E" w:rsidRDefault="00AD56E6" w:rsidP="00A54B1E">
            <w:pPr>
              <w:pStyle w:val="ListParagraph"/>
              <w:numPr>
                <w:ilvl w:val="0"/>
                <w:numId w:val="15"/>
              </w:numPr>
              <w:spacing w:before="40" w:after="40"/>
              <w:rPr>
                <w:rFonts w:asciiTheme="minorHAnsi" w:hAnsiTheme="minorHAnsi" w:cstheme="minorHAnsi"/>
                <w:sz w:val="18"/>
                <w:szCs w:val="18"/>
              </w:rPr>
            </w:pPr>
            <w:r w:rsidRPr="00A54B1E">
              <w:rPr>
                <w:rFonts w:asciiTheme="minorHAnsi" w:hAnsiTheme="minorHAnsi" w:cstheme="minorHAnsi"/>
                <w:sz w:val="18"/>
                <w:szCs w:val="18"/>
              </w:rPr>
              <w:t xml:space="preserve">Continue sharing and compatibility studies between the services under studies at 4A </w:t>
            </w:r>
            <w:r w:rsidRPr="00A54B1E">
              <w:rPr>
                <w:rFonts w:asciiTheme="minorHAnsi" w:hAnsiTheme="minorHAnsi" w:cstheme="minorHAnsi"/>
                <w:sz w:val="18"/>
                <w:szCs w:val="18"/>
                <w:lang w:val="en-US"/>
              </w:rPr>
              <w:t>and other incumbent primary services and those in adjacent frequency bands</w:t>
            </w:r>
            <w:r w:rsidRPr="00A54B1E">
              <w:rPr>
                <w:rFonts w:asciiTheme="minorHAnsi" w:hAnsiTheme="minorHAnsi" w:cstheme="minorHAnsi"/>
                <w:sz w:val="18"/>
                <w:szCs w:val="18"/>
              </w:rPr>
              <w:t>.</w:t>
            </w:r>
          </w:p>
          <w:p w:rsidR="007B5DBC" w:rsidRPr="00A54B1E" w:rsidRDefault="007B5DBC" w:rsidP="00A54B1E">
            <w:pPr>
              <w:pStyle w:val="ListParagraph"/>
              <w:numPr>
                <w:ilvl w:val="0"/>
                <w:numId w:val="15"/>
              </w:numPr>
              <w:rPr>
                <w:rFonts w:asciiTheme="minorHAnsi" w:hAnsiTheme="minorHAnsi" w:cstheme="minorHAnsi"/>
                <w:sz w:val="18"/>
                <w:szCs w:val="18"/>
              </w:rPr>
            </w:pPr>
            <w:r w:rsidRPr="00A54B1E">
              <w:rPr>
                <w:rFonts w:asciiTheme="minorHAnsi" w:hAnsiTheme="minorHAnsi" w:cstheme="minorHAnsi"/>
                <w:sz w:val="18"/>
                <w:szCs w:val="18"/>
              </w:rPr>
              <w:lastRenderedPageBreak/>
              <w:t>Liaise preliminary study results, potential mitigation measures to relevant Working Parties.</w:t>
            </w:r>
            <w:r w:rsidR="00AD56E6" w:rsidRPr="00A54B1E">
              <w:rPr>
                <w:rFonts w:asciiTheme="minorHAnsi" w:hAnsiTheme="minorHAnsi" w:cstheme="minorHAnsi"/>
                <w:sz w:val="18"/>
                <w:szCs w:val="18"/>
              </w:rPr>
              <w:t xml:space="preserve"> </w:t>
            </w:r>
            <w:r w:rsidRPr="00A54B1E">
              <w:rPr>
                <w:rFonts w:asciiTheme="minorHAnsi" w:hAnsiTheme="minorHAnsi" w:cstheme="minorHAnsi"/>
                <w:sz w:val="18"/>
                <w:szCs w:val="18"/>
              </w:rPr>
              <w:t>Update draft CPM text.</w:t>
            </w:r>
            <w:r w:rsidR="00AD56E6" w:rsidRPr="00A54B1E">
              <w:rPr>
                <w:rFonts w:asciiTheme="minorHAnsi" w:hAnsiTheme="minorHAnsi" w:cstheme="minorHAnsi"/>
                <w:sz w:val="18"/>
                <w:szCs w:val="18"/>
              </w:rPr>
              <w:br/>
            </w:r>
            <w:r w:rsidRPr="00A54B1E">
              <w:rPr>
                <w:rFonts w:asciiTheme="minorHAnsi" w:hAnsiTheme="minorHAnsi" w:cstheme="minorHAnsi"/>
                <w:sz w:val="18"/>
                <w:szCs w:val="18"/>
                <w:lang w:val="en-US"/>
              </w:rPr>
              <w:t>Revise work plan, if necessary.</w:t>
            </w:r>
          </w:p>
        </w:tc>
      </w:tr>
      <w:tr w:rsidR="00F3680F" w:rsidRPr="00A54B1E" w:rsidTr="00CF4CB8">
        <w:trPr>
          <w:jc w:val="center"/>
        </w:trPr>
        <w:tc>
          <w:tcPr>
            <w:tcW w:w="10485" w:type="dxa"/>
            <w:gridSpan w:val="2"/>
            <w:tcBorders>
              <w:top w:val="single" w:sz="4" w:space="0" w:color="auto"/>
            </w:tcBorders>
            <w:shd w:val="clear" w:color="auto" w:fill="D9D9D9" w:themeFill="background1" w:themeFillShade="D9"/>
          </w:tcPr>
          <w:p w:rsidR="00F3680F" w:rsidRPr="00A54B1E" w:rsidRDefault="007B5DBC" w:rsidP="00AC70E9">
            <w:pPr>
              <w:spacing w:before="40" w:after="40"/>
              <w:jc w:val="center"/>
              <w:rPr>
                <w:rFonts w:asciiTheme="minorHAnsi" w:hAnsiTheme="minorHAnsi" w:cstheme="minorHAnsi"/>
                <w:b/>
                <w:bCs/>
                <w:sz w:val="18"/>
                <w:szCs w:val="18"/>
              </w:rPr>
            </w:pPr>
            <w:r w:rsidRPr="00A54B1E">
              <w:rPr>
                <w:rFonts w:asciiTheme="minorHAnsi" w:hAnsiTheme="minorHAnsi" w:cstheme="minorHAnsi"/>
                <w:b/>
                <w:bCs/>
                <w:sz w:val="18"/>
                <w:szCs w:val="18"/>
              </w:rPr>
              <w:lastRenderedPageBreak/>
              <w:t>2022</w:t>
            </w:r>
          </w:p>
        </w:tc>
      </w:tr>
      <w:tr w:rsidR="00B10358" w:rsidRPr="00A54B1E" w:rsidTr="00CF4CB8">
        <w:trPr>
          <w:jc w:val="center"/>
        </w:trPr>
        <w:tc>
          <w:tcPr>
            <w:tcW w:w="1980" w:type="dxa"/>
            <w:tcBorders>
              <w:bottom w:val="single" w:sz="4" w:space="0" w:color="auto"/>
            </w:tcBorders>
          </w:tcPr>
          <w:p w:rsidR="00B10358" w:rsidRPr="00A54B1E" w:rsidRDefault="00B10358" w:rsidP="00B10358">
            <w:pPr>
              <w:spacing w:before="40" w:after="40"/>
              <w:jc w:val="center"/>
              <w:rPr>
                <w:rFonts w:asciiTheme="minorHAnsi" w:hAnsiTheme="minorHAnsi" w:cstheme="minorHAnsi"/>
                <w:sz w:val="18"/>
                <w:szCs w:val="18"/>
              </w:rPr>
            </w:pPr>
            <w:r w:rsidRPr="00A54B1E">
              <w:rPr>
                <w:rFonts w:asciiTheme="minorHAnsi" w:hAnsiTheme="minorHAnsi" w:cstheme="minorHAnsi"/>
                <w:sz w:val="18"/>
                <w:szCs w:val="18"/>
              </w:rPr>
              <w:t>6</w:t>
            </w:r>
            <w:r w:rsidRPr="00A54B1E">
              <w:rPr>
                <w:rFonts w:asciiTheme="minorHAnsi" w:hAnsiTheme="minorHAnsi" w:cstheme="minorHAnsi"/>
                <w:sz w:val="18"/>
                <w:szCs w:val="18"/>
                <w:vertAlign w:val="superscript"/>
              </w:rPr>
              <w:t>th</w:t>
            </w:r>
            <w:r w:rsidRPr="00A54B1E">
              <w:rPr>
                <w:rFonts w:asciiTheme="minorHAnsi" w:hAnsiTheme="minorHAnsi" w:cstheme="minorHAnsi"/>
                <w:sz w:val="18"/>
                <w:szCs w:val="18"/>
              </w:rPr>
              <w:t xml:space="preserve"> WP 4A Meeting</w:t>
            </w:r>
          </w:p>
          <w:p w:rsidR="00B10358" w:rsidRPr="00A54B1E" w:rsidRDefault="00B10358" w:rsidP="00B10358">
            <w:pPr>
              <w:spacing w:before="40" w:after="40"/>
              <w:jc w:val="center"/>
              <w:rPr>
                <w:rFonts w:asciiTheme="minorHAnsi" w:hAnsiTheme="minorHAnsi" w:cstheme="minorHAnsi"/>
                <w:sz w:val="18"/>
                <w:szCs w:val="18"/>
              </w:rPr>
            </w:pPr>
            <w:r w:rsidRPr="00A54B1E">
              <w:rPr>
                <w:rFonts w:asciiTheme="minorHAnsi" w:hAnsiTheme="minorHAnsi" w:cstheme="minorHAnsi"/>
                <w:sz w:val="18"/>
                <w:szCs w:val="18"/>
              </w:rPr>
              <w:t>Meeting #1 2022</w:t>
            </w:r>
          </w:p>
        </w:tc>
        <w:tc>
          <w:tcPr>
            <w:tcW w:w="8505" w:type="dxa"/>
            <w:tcBorders>
              <w:bottom w:val="single" w:sz="4" w:space="0" w:color="auto"/>
            </w:tcBorders>
          </w:tcPr>
          <w:p w:rsidR="00B10358" w:rsidRPr="00A54B1E" w:rsidRDefault="00B10358" w:rsidP="00A54B1E">
            <w:pPr>
              <w:pStyle w:val="ListParagraph"/>
              <w:numPr>
                <w:ilvl w:val="0"/>
                <w:numId w:val="16"/>
              </w:numPr>
              <w:spacing w:before="40" w:after="40"/>
              <w:jc w:val="both"/>
              <w:rPr>
                <w:rFonts w:asciiTheme="minorHAnsi" w:hAnsiTheme="minorHAnsi" w:cstheme="minorHAnsi"/>
                <w:sz w:val="18"/>
                <w:szCs w:val="18"/>
              </w:rPr>
            </w:pPr>
            <w:r w:rsidRPr="00A54B1E">
              <w:rPr>
                <w:rFonts w:asciiTheme="minorHAnsi" w:hAnsiTheme="minorHAnsi" w:cstheme="minorHAnsi"/>
                <w:sz w:val="18"/>
                <w:szCs w:val="18"/>
              </w:rPr>
              <w:t xml:space="preserve">Continue sharing and compatibility studies between the services under studies at 4A </w:t>
            </w:r>
            <w:r w:rsidRPr="00A54B1E">
              <w:rPr>
                <w:rFonts w:asciiTheme="minorHAnsi" w:hAnsiTheme="minorHAnsi" w:cstheme="minorHAnsi"/>
                <w:sz w:val="18"/>
                <w:szCs w:val="18"/>
                <w:lang w:val="en-US"/>
              </w:rPr>
              <w:t>and other incumbent primary services and those in adjacent frequency bands</w:t>
            </w:r>
            <w:r w:rsidRPr="00A54B1E">
              <w:rPr>
                <w:rFonts w:asciiTheme="minorHAnsi" w:hAnsiTheme="minorHAnsi" w:cstheme="minorHAnsi"/>
                <w:sz w:val="18"/>
                <w:szCs w:val="18"/>
              </w:rPr>
              <w:t>.</w:t>
            </w:r>
          </w:p>
          <w:p w:rsidR="00B10358" w:rsidRPr="00A54B1E" w:rsidRDefault="00B10358" w:rsidP="00A54B1E">
            <w:pPr>
              <w:pStyle w:val="ListParagraph"/>
              <w:numPr>
                <w:ilvl w:val="0"/>
                <w:numId w:val="16"/>
              </w:numPr>
              <w:spacing w:before="40" w:after="40"/>
              <w:jc w:val="both"/>
              <w:rPr>
                <w:rFonts w:asciiTheme="minorHAnsi" w:hAnsiTheme="minorHAnsi" w:cstheme="minorHAnsi"/>
                <w:sz w:val="18"/>
                <w:szCs w:val="18"/>
              </w:rPr>
            </w:pPr>
            <w:r w:rsidRPr="00A54B1E">
              <w:rPr>
                <w:rFonts w:asciiTheme="minorHAnsi" w:hAnsiTheme="minorHAnsi" w:cstheme="minorHAnsi"/>
                <w:sz w:val="18"/>
                <w:szCs w:val="18"/>
              </w:rPr>
              <w:t>Update draft CPM text.</w:t>
            </w:r>
          </w:p>
          <w:p w:rsidR="00B10358" w:rsidRPr="00A54B1E" w:rsidRDefault="00B10358" w:rsidP="00A54B1E">
            <w:pPr>
              <w:pStyle w:val="ListParagraph"/>
              <w:numPr>
                <w:ilvl w:val="0"/>
                <w:numId w:val="16"/>
              </w:numPr>
              <w:spacing w:before="40" w:after="40"/>
              <w:jc w:val="both"/>
              <w:rPr>
                <w:rFonts w:asciiTheme="minorHAnsi" w:hAnsiTheme="minorHAnsi" w:cstheme="minorHAnsi"/>
                <w:sz w:val="18"/>
                <w:szCs w:val="18"/>
              </w:rPr>
            </w:pPr>
            <w:r w:rsidRPr="00A54B1E">
              <w:rPr>
                <w:rFonts w:asciiTheme="minorHAnsi" w:hAnsiTheme="minorHAnsi" w:cstheme="minorHAnsi"/>
                <w:sz w:val="18"/>
                <w:szCs w:val="18"/>
              </w:rPr>
              <w:t>Revise work plan, if necessary.</w:t>
            </w:r>
          </w:p>
        </w:tc>
      </w:tr>
      <w:tr w:rsidR="00B10358" w:rsidRPr="00A54B1E" w:rsidTr="00CF4CB8">
        <w:trPr>
          <w:jc w:val="center"/>
        </w:trPr>
        <w:tc>
          <w:tcPr>
            <w:tcW w:w="1980" w:type="dxa"/>
            <w:tcBorders>
              <w:bottom w:val="single" w:sz="4" w:space="0" w:color="auto"/>
            </w:tcBorders>
          </w:tcPr>
          <w:p w:rsidR="00B10358" w:rsidRPr="00A54B1E" w:rsidRDefault="00B10358" w:rsidP="00B10358">
            <w:pPr>
              <w:spacing w:before="40" w:after="40"/>
              <w:jc w:val="center"/>
              <w:rPr>
                <w:rFonts w:asciiTheme="minorHAnsi" w:hAnsiTheme="minorHAnsi" w:cstheme="minorHAnsi"/>
                <w:sz w:val="18"/>
                <w:szCs w:val="18"/>
              </w:rPr>
            </w:pPr>
            <w:r w:rsidRPr="00A54B1E">
              <w:rPr>
                <w:rFonts w:asciiTheme="minorHAnsi" w:hAnsiTheme="minorHAnsi" w:cstheme="minorHAnsi"/>
                <w:sz w:val="18"/>
                <w:szCs w:val="18"/>
              </w:rPr>
              <w:t>7</w:t>
            </w:r>
            <w:r w:rsidRPr="00A54B1E">
              <w:rPr>
                <w:rFonts w:asciiTheme="minorHAnsi" w:hAnsiTheme="minorHAnsi" w:cstheme="minorHAnsi"/>
                <w:sz w:val="18"/>
                <w:szCs w:val="18"/>
                <w:vertAlign w:val="superscript"/>
              </w:rPr>
              <w:t>th</w:t>
            </w:r>
            <w:r w:rsidRPr="00A54B1E">
              <w:rPr>
                <w:rFonts w:asciiTheme="minorHAnsi" w:hAnsiTheme="minorHAnsi" w:cstheme="minorHAnsi"/>
                <w:sz w:val="18"/>
                <w:szCs w:val="18"/>
              </w:rPr>
              <w:t xml:space="preserve"> WP 4A Meeting</w:t>
            </w:r>
          </w:p>
          <w:p w:rsidR="00B10358" w:rsidRPr="00A54B1E" w:rsidRDefault="00B10358" w:rsidP="00B10358">
            <w:pPr>
              <w:spacing w:before="40" w:after="40"/>
              <w:jc w:val="center"/>
              <w:rPr>
                <w:rFonts w:asciiTheme="minorHAnsi" w:hAnsiTheme="minorHAnsi" w:cstheme="minorHAnsi"/>
                <w:sz w:val="18"/>
                <w:szCs w:val="18"/>
              </w:rPr>
            </w:pPr>
            <w:r w:rsidRPr="00A54B1E">
              <w:rPr>
                <w:rFonts w:asciiTheme="minorHAnsi" w:hAnsiTheme="minorHAnsi" w:cstheme="minorHAnsi"/>
                <w:sz w:val="18"/>
                <w:szCs w:val="18"/>
              </w:rPr>
              <w:t>Meeting #2 2022</w:t>
            </w:r>
          </w:p>
        </w:tc>
        <w:tc>
          <w:tcPr>
            <w:tcW w:w="8505" w:type="dxa"/>
            <w:tcBorders>
              <w:bottom w:val="single" w:sz="4" w:space="0" w:color="auto"/>
            </w:tcBorders>
          </w:tcPr>
          <w:p w:rsidR="00B10358" w:rsidRPr="00A54B1E" w:rsidRDefault="00B10358" w:rsidP="00A54B1E">
            <w:pPr>
              <w:pStyle w:val="ListParagraph"/>
              <w:numPr>
                <w:ilvl w:val="0"/>
                <w:numId w:val="17"/>
              </w:numPr>
              <w:spacing w:before="40" w:after="40"/>
              <w:jc w:val="both"/>
              <w:rPr>
                <w:rFonts w:asciiTheme="minorHAnsi" w:hAnsiTheme="minorHAnsi" w:cstheme="minorHAnsi"/>
                <w:sz w:val="18"/>
                <w:szCs w:val="18"/>
              </w:rPr>
            </w:pPr>
            <w:r w:rsidRPr="00A54B1E">
              <w:rPr>
                <w:rFonts w:asciiTheme="minorHAnsi" w:hAnsiTheme="minorHAnsi" w:cstheme="minorHAnsi"/>
                <w:sz w:val="18"/>
                <w:szCs w:val="18"/>
              </w:rPr>
              <w:t>Finalize sharin</w:t>
            </w:r>
            <w:r w:rsidR="00AE7AE9">
              <w:rPr>
                <w:rFonts w:asciiTheme="minorHAnsi" w:hAnsiTheme="minorHAnsi" w:cstheme="minorHAnsi"/>
                <w:sz w:val="18"/>
                <w:szCs w:val="18"/>
              </w:rPr>
              <w:t>g and compatibility studies b</w:t>
            </w:r>
            <w:r w:rsidRPr="00A54B1E">
              <w:rPr>
                <w:rFonts w:asciiTheme="minorHAnsi" w:hAnsiTheme="minorHAnsi" w:cstheme="minorHAnsi"/>
                <w:sz w:val="18"/>
                <w:szCs w:val="18"/>
              </w:rPr>
              <w:t xml:space="preserve">een the services under studies at 4A </w:t>
            </w:r>
            <w:r w:rsidRPr="00A54B1E">
              <w:rPr>
                <w:rFonts w:asciiTheme="minorHAnsi" w:hAnsiTheme="minorHAnsi" w:cstheme="minorHAnsi"/>
                <w:sz w:val="18"/>
                <w:szCs w:val="18"/>
                <w:lang w:val="en-US"/>
              </w:rPr>
              <w:t>and other incumbent primary services and those in adjacent frequency bands</w:t>
            </w:r>
            <w:r w:rsidRPr="00A54B1E">
              <w:rPr>
                <w:rFonts w:asciiTheme="minorHAnsi" w:hAnsiTheme="minorHAnsi" w:cstheme="minorHAnsi"/>
                <w:sz w:val="18"/>
                <w:szCs w:val="18"/>
              </w:rPr>
              <w:t>.</w:t>
            </w:r>
          </w:p>
          <w:p w:rsidR="00B10358" w:rsidRPr="00A54B1E" w:rsidRDefault="00B10358" w:rsidP="00A54B1E">
            <w:pPr>
              <w:pStyle w:val="ListParagraph"/>
              <w:numPr>
                <w:ilvl w:val="0"/>
                <w:numId w:val="17"/>
              </w:numPr>
              <w:spacing w:before="40" w:after="40"/>
              <w:jc w:val="both"/>
              <w:rPr>
                <w:rFonts w:asciiTheme="minorHAnsi" w:hAnsiTheme="minorHAnsi" w:cstheme="minorHAnsi"/>
                <w:sz w:val="18"/>
                <w:szCs w:val="18"/>
              </w:rPr>
            </w:pPr>
            <w:r w:rsidRPr="00A54B1E">
              <w:rPr>
                <w:rFonts w:asciiTheme="minorHAnsi" w:hAnsiTheme="minorHAnsi" w:cstheme="minorHAnsi"/>
                <w:sz w:val="18"/>
                <w:szCs w:val="18"/>
              </w:rPr>
              <w:t>Liaise final study results, potential mitigation measures to relevant Working Parties.</w:t>
            </w:r>
          </w:p>
          <w:p w:rsidR="00B10358" w:rsidRPr="00A54B1E" w:rsidRDefault="00B10358" w:rsidP="00A54B1E">
            <w:pPr>
              <w:pStyle w:val="ListParagraph"/>
              <w:numPr>
                <w:ilvl w:val="0"/>
                <w:numId w:val="17"/>
              </w:numPr>
              <w:spacing w:before="40" w:after="40"/>
              <w:jc w:val="both"/>
              <w:rPr>
                <w:rFonts w:asciiTheme="minorHAnsi" w:hAnsiTheme="minorHAnsi" w:cstheme="minorHAnsi"/>
                <w:sz w:val="18"/>
                <w:szCs w:val="18"/>
              </w:rPr>
            </w:pPr>
            <w:r w:rsidRPr="00A54B1E">
              <w:rPr>
                <w:rFonts w:asciiTheme="minorHAnsi" w:hAnsiTheme="minorHAnsi" w:cstheme="minorHAnsi"/>
                <w:sz w:val="18"/>
                <w:szCs w:val="18"/>
              </w:rPr>
              <w:t>Finalize the work on draft CPM text.</w:t>
            </w:r>
          </w:p>
          <w:p w:rsidR="00B10358" w:rsidRPr="00A54B1E" w:rsidRDefault="00B10358" w:rsidP="00A54B1E">
            <w:pPr>
              <w:pStyle w:val="ListParagraph"/>
              <w:numPr>
                <w:ilvl w:val="0"/>
                <w:numId w:val="17"/>
              </w:numPr>
              <w:spacing w:before="40" w:after="40"/>
              <w:rPr>
                <w:rFonts w:asciiTheme="minorHAnsi" w:hAnsiTheme="minorHAnsi" w:cstheme="minorHAnsi"/>
                <w:sz w:val="18"/>
                <w:szCs w:val="18"/>
              </w:rPr>
            </w:pPr>
            <w:r w:rsidRPr="00A54B1E">
              <w:rPr>
                <w:rFonts w:asciiTheme="minorHAnsi" w:hAnsiTheme="minorHAnsi" w:cstheme="minorHAnsi"/>
                <w:sz w:val="18"/>
                <w:szCs w:val="18"/>
              </w:rPr>
              <w:t>Revise work plan, if necessary.</w:t>
            </w:r>
          </w:p>
        </w:tc>
      </w:tr>
      <w:tr w:rsidR="00F3680F" w:rsidRPr="00A54B1E" w:rsidTr="00CF4CB8">
        <w:trPr>
          <w:jc w:val="center"/>
        </w:trPr>
        <w:tc>
          <w:tcPr>
            <w:tcW w:w="10485" w:type="dxa"/>
            <w:gridSpan w:val="2"/>
            <w:tcBorders>
              <w:top w:val="single" w:sz="4" w:space="0" w:color="auto"/>
            </w:tcBorders>
            <w:shd w:val="clear" w:color="auto" w:fill="D9D9D9" w:themeFill="background1" w:themeFillShade="D9"/>
          </w:tcPr>
          <w:p w:rsidR="00F3680F" w:rsidRPr="00A54B1E" w:rsidRDefault="00F3680F" w:rsidP="00AC70E9">
            <w:pPr>
              <w:spacing w:before="40" w:after="40"/>
              <w:jc w:val="center"/>
              <w:rPr>
                <w:rFonts w:asciiTheme="minorHAnsi" w:hAnsiTheme="minorHAnsi" w:cstheme="minorHAnsi"/>
                <w:b/>
                <w:bCs/>
                <w:sz w:val="18"/>
                <w:szCs w:val="18"/>
              </w:rPr>
            </w:pPr>
            <w:r w:rsidRPr="00A54B1E">
              <w:rPr>
                <w:rFonts w:asciiTheme="minorHAnsi" w:hAnsiTheme="minorHAnsi" w:cstheme="minorHAnsi"/>
                <w:b/>
                <w:bCs/>
                <w:sz w:val="18"/>
                <w:szCs w:val="18"/>
              </w:rPr>
              <w:t>2023</w:t>
            </w:r>
          </w:p>
        </w:tc>
      </w:tr>
      <w:tr w:rsidR="007B5DBC" w:rsidRPr="00A54B1E" w:rsidTr="00CF4CB8">
        <w:trPr>
          <w:jc w:val="center"/>
        </w:trPr>
        <w:tc>
          <w:tcPr>
            <w:tcW w:w="1980" w:type="dxa"/>
          </w:tcPr>
          <w:p w:rsidR="007B5DBC" w:rsidRPr="00A54B1E" w:rsidRDefault="007B5DBC" w:rsidP="00AC70E9">
            <w:pPr>
              <w:spacing w:before="40" w:after="40"/>
              <w:jc w:val="center"/>
              <w:rPr>
                <w:rFonts w:asciiTheme="minorHAnsi" w:hAnsiTheme="minorHAnsi" w:cstheme="minorHAnsi"/>
                <w:sz w:val="18"/>
                <w:szCs w:val="18"/>
              </w:rPr>
            </w:pPr>
            <w:r w:rsidRPr="00A54B1E">
              <w:rPr>
                <w:rFonts w:asciiTheme="minorHAnsi" w:hAnsiTheme="minorHAnsi" w:cstheme="minorHAnsi"/>
                <w:sz w:val="18"/>
                <w:szCs w:val="18"/>
              </w:rPr>
              <w:br w:type="page"/>
              <w:t>8</w:t>
            </w:r>
            <w:r w:rsidRPr="00A54B1E">
              <w:rPr>
                <w:rFonts w:asciiTheme="minorHAnsi" w:hAnsiTheme="minorHAnsi" w:cstheme="minorHAnsi"/>
                <w:sz w:val="18"/>
                <w:szCs w:val="18"/>
                <w:vertAlign w:val="superscript"/>
              </w:rPr>
              <w:t>th</w:t>
            </w:r>
            <w:r w:rsidRPr="00A54B1E">
              <w:rPr>
                <w:rFonts w:asciiTheme="minorHAnsi" w:hAnsiTheme="minorHAnsi" w:cstheme="minorHAnsi"/>
                <w:sz w:val="18"/>
                <w:szCs w:val="18"/>
              </w:rPr>
              <w:t xml:space="preserve"> WP 4A Meeting</w:t>
            </w:r>
          </w:p>
          <w:p w:rsidR="007B5DBC" w:rsidRPr="00A54B1E" w:rsidRDefault="007B5DBC" w:rsidP="00AC70E9">
            <w:pPr>
              <w:spacing w:before="40" w:after="40"/>
              <w:jc w:val="center"/>
              <w:rPr>
                <w:rFonts w:asciiTheme="minorHAnsi" w:hAnsiTheme="minorHAnsi" w:cstheme="minorHAnsi"/>
                <w:sz w:val="18"/>
                <w:szCs w:val="18"/>
              </w:rPr>
            </w:pPr>
            <w:r w:rsidRPr="00A54B1E">
              <w:rPr>
                <w:rFonts w:asciiTheme="minorHAnsi" w:hAnsiTheme="minorHAnsi" w:cstheme="minorHAnsi"/>
                <w:sz w:val="18"/>
                <w:szCs w:val="18"/>
              </w:rPr>
              <w:t>Meeting #1 2023</w:t>
            </w:r>
          </w:p>
        </w:tc>
        <w:tc>
          <w:tcPr>
            <w:tcW w:w="8505" w:type="dxa"/>
          </w:tcPr>
          <w:p w:rsidR="007B5DBC" w:rsidRPr="00AE7AE9" w:rsidRDefault="00B10358" w:rsidP="00AE7AE9">
            <w:pPr>
              <w:pStyle w:val="ListParagraph"/>
              <w:numPr>
                <w:ilvl w:val="0"/>
                <w:numId w:val="18"/>
              </w:numPr>
              <w:spacing w:after="160" w:line="259" w:lineRule="auto"/>
              <w:rPr>
                <w:rFonts w:asciiTheme="minorHAnsi" w:hAnsiTheme="minorHAnsi" w:cstheme="minorHAnsi"/>
                <w:sz w:val="18"/>
                <w:szCs w:val="18"/>
              </w:rPr>
            </w:pPr>
            <w:r w:rsidRPr="00CF4CB8">
              <w:rPr>
                <w:rFonts w:asciiTheme="minorHAnsi" w:hAnsiTheme="minorHAnsi" w:cstheme="minorHAnsi"/>
                <w:sz w:val="18"/>
                <w:szCs w:val="18"/>
              </w:rPr>
              <w:t>Finalize any studies and adopt relevant ITU-R Reports/</w:t>
            </w:r>
            <w:bookmarkStart w:id="0" w:name="OLE_LINK32"/>
            <w:bookmarkStart w:id="1" w:name="OLE_LINK33"/>
            <w:bookmarkStart w:id="2" w:name="OLE_LINK34"/>
            <w:bookmarkStart w:id="3" w:name="OLE_LINK35"/>
            <w:r w:rsidRPr="00CF4CB8">
              <w:rPr>
                <w:rFonts w:asciiTheme="minorHAnsi" w:hAnsiTheme="minorHAnsi" w:cstheme="minorHAnsi"/>
                <w:sz w:val="18"/>
                <w:szCs w:val="18"/>
              </w:rPr>
              <w:t>Recommendations</w:t>
            </w:r>
            <w:bookmarkEnd w:id="0"/>
            <w:bookmarkEnd w:id="1"/>
            <w:bookmarkEnd w:id="2"/>
            <w:bookmarkEnd w:id="3"/>
            <w:r w:rsidRPr="00CF4CB8">
              <w:rPr>
                <w:rFonts w:asciiTheme="minorHAnsi" w:hAnsiTheme="minorHAnsi" w:cstheme="minorHAnsi"/>
                <w:sz w:val="18"/>
                <w:szCs w:val="18"/>
              </w:rPr>
              <w:t>.</w:t>
            </w:r>
          </w:p>
        </w:tc>
      </w:tr>
    </w:tbl>
    <w:p w:rsidR="00F3680F" w:rsidRPr="00AC42E3" w:rsidRDefault="00F3680F">
      <w:pPr>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170DA" w:rsidRPr="00AC42E3" w:rsidTr="001A6A4B">
        <w:tc>
          <w:tcPr>
            <w:tcW w:w="9350" w:type="dxa"/>
          </w:tcPr>
          <w:p w:rsidR="007170DA" w:rsidRPr="005E4B68" w:rsidRDefault="007170DA" w:rsidP="005E4B68">
            <w:pPr>
              <w:pStyle w:val="Tabletext"/>
              <w:jc w:val="center"/>
              <w:rPr>
                <w:rFonts w:asciiTheme="minorHAnsi" w:hAnsiTheme="minorHAnsi" w:cstheme="minorHAnsi"/>
                <w:b/>
                <w:sz w:val="24"/>
                <w:szCs w:val="24"/>
              </w:rPr>
            </w:pPr>
            <w:r w:rsidRPr="005E4B68">
              <w:rPr>
                <w:rFonts w:asciiTheme="minorHAnsi" w:hAnsiTheme="minorHAnsi" w:cstheme="minorHAnsi"/>
                <w:b/>
                <w:sz w:val="24"/>
                <w:szCs w:val="24"/>
              </w:rPr>
              <w:t>A</w:t>
            </w:r>
            <w:r w:rsidR="00E328DE">
              <w:rPr>
                <w:rFonts w:asciiTheme="minorHAnsi" w:hAnsiTheme="minorHAnsi" w:cstheme="minorHAnsi"/>
                <w:b/>
                <w:sz w:val="24"/>
                <w:szCs w:val="24"/>
              </w:rPr>
              <w:t xml:space="preserve">genda </w:t>
            </w:r>
            <w:r w:rsidRPr="005E4B68">
              <w:rPr>
                <w:rFonts w:asciiTheme="minorHAnsi" w:hAnsiTheme="minorHAnsi" w:cstheme="minorHAnsi"/>
                <w:b/>
                <w:sz w:val="24"/>
                <w:szCs w:val="24"/>
              </w:rPr>
              <w:t>I</w:t>
            </w:r>
            <w:r w:rsidR="00E328DE">
              <w:rPr>
                <w:rFonts w:asciiTheme="minorHAnsi" w:hAnsiTheme="minorHAnsi" w:cstheme="minorHAnsi"/>
                <w:b/>
                <w:sz w:val="24"/>
                <w:szCs w:val="24"/>
              </w:rPr>
              <w:t>tem</w:t>
            </w:r>
            <w:r w:rsidRPr="005E4B68">
              <w:rPr>
                <w:rFonts w:asciiTheme="minorHAnsi" w:hAnsiTheme="minorHAnsi" w:cstheme="minorHAnsi"/>
                <w:b/>
                <w:sz w:val="24"/>
                <w:szCs w:val="24"/>
              </w:rPr>
              <w:t xml:space="preserve"> 1.15</w:t>
            </w:r>
            <w:r w:rsidR="005E4B68">
              <w:rPr>
                <w:rFonts w:asciiTheme="minorHAnsi" w:hAnsiTheme="minorHAnsi" w:cstheme="minorHAnsi"/>
                <w:b/>
                <w:sz w:val="24"/>
                <w:szCs w:val="24"/>
              </w:rPr>
              <w:t xml:space="preserve"> </w:t>
            </w:r>
            <w:r w:rsidR="00D062AC">
              <w:rPr>
                <w:rFonts w:asciiTheme="minorHAnsi" w:hAnsiTheme="minorHAnsi" w:cstheme="minorHAnsi"/>
                <w:b/>
                <w:sz w:val="24"/>
                <w:szCs w:val="24"/>
              </w:rPr>
              <w:t xml:space="preserve">(In-Flight Connectivity - </w:t>
            </w:r>
            <w:r w:rsidR="008D1FAD" w:rsidRPr="005E4B68">
              <w:rPr>
                <w:rFonts w:asciiTheme="minorHAnsi" w:hAnsiTheme="minorHAnsi" w:cstheme="minorHAnsi"/>
                <w:b/>
                <w:sz w:val="24"/>
                <w:szCs w:val="24"/>
              </w:rPr>
              <w:t>IFC)</w:t>
            </w:r>
          </w:p>
        </w:tc>
      </w:tr>
      <w:tr w:rsidR="007170DA" w:rsidRPr="00AC42E3" w:rsidTr="001A6A4B">
        <w:tc>
          <w:tcPr>
            <w:tcW w:w="9350" w:type="dxa"/>
          </w:tcPr>
          <w:p w:rsidR="007170DA" w:rsidRPr="00AC42E3" w:rsidRDefault="007170DA" w:rsidP="001A6A4B">
            <w:pPr>
              <w:spacing w:after="0" w:line="240" w:lineRule="auto"/>
              <w:rPr>
                <w:rFonts w:asciiTheme="minorHAnsi" w:hAnsiTheme="minorHAnsi" w:cstheme="minorHAnsi"/>
                <w:b/>
                <w:i/>
                <w:color w:val="4F81BD"/>
                <w:spacing w:val="60"/>
                <w:sz w:val="24"/>
                <w:szCs w:val="24"/>
                <w:lang w:val="en-GB"/>
              </w:rPr>
            </w:pPr>
            <w:r w:rsidRPr="00AC42E3">
              <w:rPr>
                <w:rFonts w:asciiTheme="minorHAnsi" w:hAnsiTheme="minorHAnsi" w:cstheme="minorHAnsi"/>
                <w:b/>
                <w:i/>
                <w:color w:val="4F81BD"/>
                <w:spacing w:val="60"/>
                <w:sz w:val="24"/>
                <w:szCs w:val="24"/>
                <w:lang w:val="en-GB"/>
              </w:rPr>
              <w:t>Part A: Description</w:t>
            </w:r>
          </w:p>
        </w:tc>
      </w:tr>
      <w:tr w:rsidR="007170DA" w:rsidRPr="00AC42E3" w:rsidTr="001A6A4B">
        <w:trPr>
          <w:trHeight w:val="647"/>
        </w:trPr>
        <w:tc>
          <w:tcPr>
            <w:tcW w:w="9350" w:type="dxa"/>
          </w:tcPr>
          <w:p w:rsidR="007170DA" w:rsidRPr="00F439D5" w:rsidRDefault="007170DA" w:rsidP="001A6A4B">
            <w:pPr>
              <w:spacing w:after="0" w:line="240" w:lineRule="auto"/>
              <w:jc w:val="both"/>
              <w:rPr>
                <w:rFonts w:asciiTheme="minorHAnsi" w:hAnsiTheme="minorHAnsi" w:cstheme="minorHAnsi"/>
                <w:i/>
                <w:sz w:val="24"/>
                <w:szCs w:val="24"/>
                <w:lang w:val="en-GB"/>
              </w:rPr>
            </w:pPr>
            <w:r w:rsidRPr="00F439D5">
              <w:rPr>
                <w:rFonts w:asciiTheme="minorHAnsi" w:hAnsiTheme="minorHAnsi" w:cstheme="minorHAnsi"/>
                <w:i/>
                <w:sz w:val="24"/>
                <w:szCs w:val="24"/>
              </w:rPr>
              <w:t xml:space="preserve">to harmonize the use of the frequency band 12.75-13.25 GHz (Earth-to-space) by earth stations on aircraft and vessels communicating with geostationary space stations in the fixed-satellite service globally, in accordance with Resolution </w:t>
            </w:r>
            <w:r w:rsidRPr="00F439D5">
              <w:rPr>
                <w:rFonts w:asciiTheme="minorHAnsi" w:hAnsiTheme="minorHAnsi" w:cstheme="minorHAnsi"/>
                <w:b/>
                <w:bCs/>
                <w:i/>
                <w:sz w:val="24"/>
                <w:szCs w:val="24"/>
              </w:rPr>
              <w:t>172</w:t>
            </w:r>
            <w:r w:rsidRPr="00F439D5">
              <w:rPr>
                <w:rFonts w:asciiTheme="minorHAnsi" w:hAnsiTheme="minorHAnsi" w:cstheme="minorHAnsi"/>
                <w:b/>
                <w:i/>
                <w:sz w:val="24"/>
                <w:szCs w:val="24"/>
              </w:rPr>
              <w:t xml:space="preserve"> (WRC</w:t>
            </w:r>
            <w:r w:rsidRPr="00F439D5">
              <w:rPr>
                <w:rFonts w:asciiTheme="minorHAnsi" w:hAnsiTheme="minorHAnsi" w:cstheme="minorHAnsi"/>
                <w:b/>
                <w:i/>
                <w:sz w:val="24"/>
                <w:szCs w:val="24"/>
              </w:rPr>
              <w:noBreakHyphen/>
              <w:t>19)</w:t>
            </w:r>
            <w:r w:rsidRPr="00F439D5">
              <w:rPr>
                <w:rFonts w:asciiTheme="minorHAnsi" w:hAnsiTheme="minorHAnsi" w:cstheme="minorHAnsi"/>
                <w:i/>
                <w:sz w:val="24"/>
                <w:szCs w:val="24"/>
              </w:rPr>
              <w:t>;</w:t>
            </w:r>
          </w:p>
        </w:tc>
      </w:tr>
      <w:tr w:rsidR="007170DA" w:rsidRPr="00AC42E3" w:rsidTr="001A6A4B">
        <w:tc>
          <w:tcPr>
            <w:tcW w:w="9350" w:type="dxa"/>
          </w:tcPr>
          <w:p w:rsidR="007170DA" w:rsidRPr="00AC42E3" w:rsidRDefault="007170DA" w:rsidP="001A6A4B">
            <w:pPr>
              <w:spacing w:after="0" w:line="240" w:lineRule="auto"/>
              <w:rPr>
                <w:rFonts w:asciiTheme="minorHAnsi" w:hAnsiTheme="minorHAnsi" w:cstheme="minorHAnsi"/>
                <w:sz w:val="24"/>
                <w:szCs w:val="24"/>
                <w:lang w:val="en-GB"/>
              </w:rPr>
            </w:pPr>
            <w:r w:rsidRPr="00AC42E3">
              <w:rPr>
                <w:rFonts w:asciiTheme="minorHAnsi" w:hAnsiTheme="minorHAnsi" w:cstheme="minorHAnsi"/>
                <w:b/>
                <w:i/>
                <w:color w:val="4F81BD"/>
                <w:spacing w:val="60"/>
                <w:sz w:val="24"/>
                <w:szCs w:val="24"/>
                <w:lang w:val="en-GB"/>
              </w:rPr>
              <w:t>Part B: Key Elements – the notables</w:t>
            </w:r>
          </w:p>
        </w:tc>
      </w:tr>
      <w:tr w:rsidR="007170DA" w:rsidRPr="00AC42E3" w:rsidTr="001A6A4B">
        <w:trPr>
          <w:trHeight w:val="638"/>
        </w:trPr>
        <w:tc>
          <w:tcPr>
            <w:tcW w:w="9350" w:type="dxa"/>
          </w:tcPr>
          <w:p w:rsidR="00595565" w:rsidRDefault="00CA6556" w:rsidP="001A6A4B">
            <w:pPr>
              <w:autoSpaceDE w:val="0"/>
              <w:autoSpaceDN w:val="0"/>
              <w:adjustRightInd w:val="0"/>
              <w:spacing w:after="0" w:line="240" w:lineRule="auto"/>
              <w:jc w:val="both"/>
              <w:rPr>
                <w:rFonts w:asciiTheme="minorHAnsi" w:hAnsiTheme="minorHAnsi" w:cstheme="minorHAnsi"/>
                <w:sz w:val="24"/>
                <w:szCs w:val="24"/>
                <w:lang w:val="en-GB"/>
              </w:rPr>
            </w:pPr>
            <w:r>
              <w:rPr>
                <w:rFonts w:asciiTheme="minorHAnsi" w:hAnsiTheme="minorHAnsi" w:cstheme="minorHAnsi"/>
                <w:sz w:val="24"/>
                <w:szCs w:val="24"/>
                <w:lang w:val="en-GB"/>
              </w:rPr>
              <w:t>A correspondent group was established for</w:t>
            </w:r>
            <w:r w:rsidR="00595565">
              <w:rPr>
                <w:rFonts w:asciiTheme="minorHAnsi" w:hAnsiTheme="minorHAnsi" w:cstheme="minorHAnsi"/>
                <w:sz w:val="24"/>
                <w:szCs w:val="24"/>
                <w:lang w:val="en-GB"/>
              </w:rPr>
              <w:t xml:space="preserve"> this agenda item at WP 4A.</w:t>
            </w:r>
          </w:p>
          <w:p w:rsidR="007170DA" w:rsidRPr="00CA6556" w:rsidRDefault="00CA6556" w:rsidP="001A6A4B">
            <w:pPr>
              <w:autoSpaceDE w:val="0"/>
              <w:autoSpaceDN w:val="0"/>
              <w:adjustRightInd w:val="0"/>
              <w:spacing w:after="0" w:line="240" w:lineRule="auto"/>
              <w:jc w:val="both"/>
              <w:rPr>
                <w:rFonts w:asciiTheme="minorHAnsi" w:hAnsiTheme="minorHAnsi" w:cstheme="minorHAnsi"/>
                <w:sz w:val="24"/>
                <w:szCs w:val="24"/>
                <w:lang w:val="en-GB"/>
              </w:rPr>
            </w:pPr>
            <w:r>
              <w:rPr>
                <w:rFonts w:asciiTheme="minorHAnsi" w:hAnsiTheme="minorHAnsi" w:cstheme="minorHAnsi"/>
                <w:sz w:val="24"/>
                <w:szCs w:val="24"/>
                <w:lang w:val="en-GB"/>
              </w:rPr>
              <w:t>AI 1.15</w:t>
            </w:r>
            <w:r w:rsidR="002C0EE6">
              <w:rPr>
                <w:rFonts w:asciiTheme="minorHAnsi" w:hAnsiTheme="minorHAnsi" w:cstheme="minorHAnsi"/>
                <w:sz w:val="24"/>
                <w:szCs w:val="24"/>
                <w:lang w:val="en-GB"/>
              </w:rPr>
              <w:t xml:space="preserve"> </w:t>
            </w:r>
            <w:r w:rsidR="007170DA" w:rsidRPr="00AC42E3">
              <w:rPr>
                <w:rFonts w:asciiTheme="minorHAnsi" w:hAnsiTheme="minorHAnsi" w:cstheme="minorHAnsi"/>
                <w:sz w:val="24"/>
                <w:szCs w:val="24"/>
                <w:lang w:val="en-GB"/>
              </w:rPr>
              <w:t>comes as a result of the increasing need for</w:t>
            </w:r>
            <w:r w:rsidR="007170DA" w:rsidRPr="00AC42E3">
              <w:rPr>
                <w:rFonts w:asciiTheme="minorHAnsi" w:hAnsiTheme="minorHAnsi" w:cstheme="minorHAnsi"/>
                <w:sz w:val="24"/>
                <w:szCs w:val="24"/>
              </w:rPr>
              <w:t xml:space="preserve"> connectivity to </w:t>
            </w:r>
            <w:r w:rsidR="002C0EE6">
              <w:rPr>
                <w:rFonts w:asciiTheme="minorHAnsi" w:hAnsiTheme="minorHAnsi" w:cstheme="minorHAnsi"/>
                <w:sz w:val="24"/>
                <w:szCs w:val="24"/>
              </w:rPr>
              <w:t>in-motion devices via satellite</w:t>
            </w:r>
            <w:r w:rsidR="00595565">
              <w:rPr>
                <w:rFonts w:asciiTheme="minorHAnsi" w:hAnsiTheme="minorHAnsi" w:cstheme="minorHAnsi"/>
                <w:sz w:val="24"/>
                <w:szCs w:val="24"/>
              </w:rPr>
              <w:t xml:space="preserve"> networks. T</w:t>
            </w:r>
            <w:r w:rsidR="007170DA" w:rsidRPr="00AC42E3">
              <w:rPr>
                <w:rFonts w:asciiTheme="minorHAnsi" w:hAnsiTheme="minorHAnsi" w:cstheme="minorHAnsi"/>
                <w:sz w:val="24"/>
                <w:szCs w:val="24"/>
              </w:rPr>
              <w:t>he demand for in-flight connectivity (IFC) services provided by earth stations on aircraft</w:t>
            </w:r>
            <w:r w:rsidR="00595565">
              <w:rPr>
                <w:rFonts w:asciiTheme="minorHAnsi" w:hAnsiTheme="minorHAnsi" w:cstheme="minorHAnsi"/>
                <w:sz w:val="24"/>
                <w:szCs w:val="24"/>
              </w:rPr>
              <w:t>s</w:t>
            </w:r>
            <w:r w:rsidR="007170DA" w:rsidRPr="00AC42E3">
              <w:rPr>
                <w:rFonts w:asciiTheme="minorHAnsi" w:hAnsiTheme="minorHAnsi" w:cstheme="minorHAnsi"/>
                <w:sz w:val="24"/>
                <w:szCs w:val="24"/>
              </w:rPr>
              <w:t xml:space="preserve"> continue to grow rapidly as the importance of internet connectivity for the airline industry and their passengers increase.</w:t>
            </w:r>
            <w:r w:rsidR="005515CE" w:rsidRPr="00AC42E3">
              <w:rPr>
                <w:rFonts w:asciiTheme="minorHAnsi" w:hAnsiTheme="minorHAnsi" w:cstheme="minorHAnsi"/>
                <w:sz w:val="24"/>
                <w:szCs w:val="24"/>
              </w:rPr>
              <w:t xml:space="preserve"> Availing the 12.75-13.25 GHz band which is currently allocated to </w:t>
            </w:r>
            <w:r w:rsidR="00595565">
              <w:rPr>
                <w:rFonts w:asciiTheme="minorHAnsi" w:hAnsiTheme="minorHAnsi" w:cstheme="minorHAnsi"/>
                <w:sz w:val="24"/>
                <w:szCs w:val="24"/>
              </w:rPr>
              <w:t>the FSS (Earth-to-space) for</w:t>
            </w:r>
            <w:r w:rsidR="005515CE" w:rsidRPr="00AC42E3">
              <w:rPr>
                <w:rFonts w:asciiTheme="minorHAnsi" w:hAnsiTheme="minorHAnsi" w:cstheme="minorHAnsi"/>
                <w:sz w:val="24"/>
                <w:szCs w:val="24"/>
              </w:rPr>
              <w:t xml:space="preserve"> use by earth stations on aircraft is expected to allow satellite </w:t>
            </w:r>
            <w:r w:rsidR="00595565">
              <w:rPr>
                <w:rFonts w:asciiTheme="minorHAnsi" w:hAnsiTheme="minorHAnsi" w:cstheme="minorHAnsi"/>
                <w:sz w:val="24"/>
                <w:szCs w:val="24"/>
              </w:rPr>
              <w:t xml:space="preserve">networks to respond to the growing demand </w:t>
            </w:r>
            <w:r w:rsidR="005515CE" w:rsidRPr="00AC42E3">
              <w:rPr>
                <w:rFonts w:asciiTheme="minorHAnsi" w:hAnsiTheme="minorHAnsi" w:cstheme="minorHAnsi"/>
                <w:sz w:val="24"/>
                <w:szCs w:val="24"/>
              </w:rPr>
              <w:t>for onboard connectivity with sufficient capacity.</w:t>
            </w:r>
          </w:p>
          <w:p w:rsidR="00AC42E3" w:rsidRPr="00AC42E3" w:rsidRDefault="00AC42E3" w:rsidP="001A6A4B">
            <w:pPr>
              <w:autoSpaceDE w:val="0"/>
              <w:autoSpaceDN w:val="0"/>
              <w:adjustRightInd w:val="0"/>
              <w:spacing w:after="0" w:line="240" w:lineRule="auto"/>
              <w:jc w:val="both"/>
              <w:rPr>
                <w:rFonts w:asciiTheme="minorHAnsi" w:hAnsiTheme="minorHAnsi" w:cstheme="minorHAnsi"/>
                <w:sz w:val="24"/>
                <w:szCs w:val="24"/>
              </w:rPr>
            </w:pPr>
          </w:p>
          <w:p w:rsidR="00AC42E3" w:rsidRDefault="00AC42E3" w:rsidP="001A6A4B">
            <w:pPr>
              <w:autoSpaceDE w:val="0"/>
              <w:autoSpaceDN w:val="0"/>
              <w:adjustRightInd w:val="0"/>
              <w:spacing w:after="0" w:line="240" w:lineRule="auto"/>
              <w:jc w:val="both"/>
              <w:rPr>
                <w:rFonts w:asciiTheme="minorHAnsi" w:hAnsiTheme="minorHAnsi" w:cstheme="minorHAnsi"/>
                <w:sz w:val="24"/>
                <w:szCs w:val="24"/>
              </w:rPr>
            </w:pPr>
            <w:r w:rsidRPr="00AC42E3">
              <w:rPr>
                <w:rFonts w:asciiTheme="minorHAnsi" w:hAnsiTheme="minorHAnsi" w:cstheme="minorHAnsi"/>
                <w:sz w:val="24"/>
                <w:szCs w:val="24"/>
              </w:rPr>
              <w:t xml:space="preserve">Resolution 172 calls for study of the technical and operational characteristics and user requirements of earth stations on aircrafts and vessels for this purpose including sharing and compatibility studies with incumbent and </w:t>
            </w:r>
            <w:r w:rsidR="00595565">
              <w:rPr>
                <w:rFonts w:asciiTheme="minorHAnsi" w:hAnsiTheme="minorHAnsi" w:cstheme="minorHAnsi"/>
                <w:sz w:val="24"/>
                <w:szCs w:val="24"/>
              </w:rPr>
              <w:t>adjacent band services as well as the evaluation of</w:t>
            </w:r>
            <w:r w:rsidRPr="00AC42E3">
              <w:rPr>
                <w:rFonts w:asciiTheme="minorHAnsi" w:hAnsiTheme="minorHAnsi" w:cstheme="minorHAnsi"/>
                <w:sz w:val="24"/>
                <w:szCs w:val="24"/>
              </w:rPr>
              <w:t xml:space="preserve"> the responsibility of entities involved in the operation of these stations.</w:t>
            </w:r>
          </w:p>
          <w:p w:rsidR="00595565" w:rsidRPr="00AC42E3" w:rsidRDefault="00595565" w:rsidP="001A6A4B">
            <w:pPr>
              <w:autoSpaceDE w:val="0"/>
              <w:autoSpaceDN w:val="0"/>
              <w:adjustRightInd w:val="0"/>
              <w:spacing w:after="0" w:line="240" w:lineRule="auto"/>
              <w:jc w:val="both"/>
              <w:rPr>
                <w:rFonts w:asciiTheme="minorHAnsi" w:hAnsiTheme="minorHAnsi" w:cstheme="minorHAnsi"/>
                <w:sz w:val="24"/>
                <w:szCs w:val="24"/>
              </w:rPr>
            </w:pPr>
          </w:p>
          <w:p w:rsidR="00DE3F77" w:rsidRPr="00AC42E3" w:rsidRDefault="00AC42E3" w:rsidP="00AC42E3">
            <w:pPr>
              <w:keepNext/>
              <w:tabs>
                <w:tab w:val="left" w:pos="794"/>
                <w:tab w:val="left" w:pos="1191"/>
                <w:tab w:val="left" w:pos="1588"/>
                <w:tab w:val="left" w:pos="1985"/>
              </w:tabs>
              <w:jc w:val="both"/>
              <w:rPr>
                <w:rFonts w:asciiTheme="minorHAnsi" w:hAnsiTheme="minorHAnsi" w:cstheme="minorHAnsi"/>
                <w:sz w:val="24"/>
                <w:szCs w:val="24"/>
              </w:rPr>
            </w:pPr>
            <w:r w:rsidRPr="00AC42E3">
              <w:rPr>
                <w:rFonts w:asciiTheme="minorHAnsi" w:hAnsiTheme="minorHAnsi" w:cstheme="minorHAnsi"/>
                <w:sz w:val="24"/>
                <w:szCs w:val="24"/>
              </w:rPr>
              <w:t>The resolution also states that these stations shall not be used or relied upon for safety-of-life applications and their use of the band shall not result in changes or restrictions to the existing Plan allotments and List assignments made under Appendix </w:t>
            </w:r>
            <w:r w:rsidRPr="00AC42E3">
              <w:rPr>
                <w:rFonts w:asciiTheme="minorHAnsi" w:hAnsiTheme="minorHAnsi" w:cstheme="minorHAnsi"/>
                <w:b/>
                <w:sz w:val="24"/>
                <w:szCs w:val="24"/>
              </w:rPr>
              <w:t>30B</w:t>
            </w:r>
            <w:r w:rsidRPr="00AC42E3">
              <w:rPr>
                <w:rFonts w:asciiTheme="minorHAnsi" w:hAnsiTheme="minorHAnsi" w:cstheme="minorHAnsi"/>
                <w:sz w:val="24"/>
                <w:szCs w:val="24"/>
              </w:rPr>
              <w:t>, and their future development.</w:t>
            </w:r>
          </w:p>
          <w:p w:rsidR="0087606B" w:rsidRDefault="00DE3F77" w:rsidP="001A6A4B">
            <w:pPr>
              <w:autoSpaceDE w:val="0"/>
              <w:autoSpaceDN w:val="0"/>
              <w:adjustRightInd w:val="0"/>
              <w:spacing w:after="0" w:line="240" w:lineRule="auto"/>
              <w:jc w:val="both"/>
              <w:rPr>
                <w:rFonts w:asciiTheme="minorHAnsi" w:hAnsiTheme="minorHAnsi" w:cstheme="minorHAnsi"/>
                <w:sz w:val="24"/>
                <w:szCs w:val="24"/>
              </w:rPr>
            </w:pPr>
            <w:r w:rsidRPr="00AC42E3">
              <w:rPr>
                <w:rFonts w:asciiTheme="minorHAnsi" w:hAnsiTheme="minorHAnsi" w:cstheme="minorHAnsi"/>
                <w:sz w:val="24"/>
                <w:szCs w:val="24"/>
              </w:rPr>
              <w:t>It is very key to approach the harmonization for the operation of earth stations on aircraft communicating with GSO space stations in the FSS in the 12.75-</w:t>
            </w:r>
            <w:r w:rsidR="00595565">
              <w:rPr>
                <w:rFonts w:asciiTheme="minorHAnsi" w:hAnsiTheme="minorHAnsi" w:cstheme="minorHAnsi"/>
                <w:sz w:val="24"/>
                <w:szCs w:val="24"/>
              </w:rPr>
              <w:t>13.25 GHz frequency band</w:t>
            </w:r>
            <w:r w:rsidRPr="00AC42E3">
              <w:rPr>
                <w:rFonts w:asciiTheme="minorHAnsi" w:hAnsiTheme="minorHAnsi" w:cstheme="minorHAnsi"/>
                <w:sz w:val="24"/>
                <w:szCs w:val="24"/>
              </w:rPr>
              <w:t xml:space="preserve"> while ensuring that present and future services in the band and adjacent bands are protected </w:t>
            </w:r>
            <w:r w:rsidRPr="00AC42E3">
              <w:rPr>
                <w:rFonts w:asciiTheme="minorHAnsi" w:hAnsiTheme="minorHAnsi" w:cstheme="minorHAnsi"/>
                <w:sz w:val="24"/>
                <w:szCs w:val="24"/>
              </w:rPr>
              <w:lastRenderedPageBreak/>
              <w:t>without imposin</w:t>
            </w:r>
            <w:r w:rsidR="008D1FAD" w:rsidRPr="00AC42E3">
              <w:rPr>
                <w:rFonts w:asciiTheme="minorHAnsi" w:hAnsiTheme="minorHAnsi" w:cstheme="minorHAnsi"/>
                <w:sz w:val="24"/>
                <w:szCs w:val="24"/>
              </w:rPr>
              <w:t>g additional constraints</w:t>
            </w:r>
            <w:r w:rsidRPr="00AC42E3">
              <w:rPr>
                <w:rFonts w:asciiTheme="minorHAnsi" w:hAnsiTheme="minorHAnsi" w:cstheme="minorHAnsi"/>
                <w:sz w:val="24"/>
                <w:szCs w:val="24"/>
              </w:rPr>
              <w:t xml:space="preserve">. </w:t>
            </w:r>
            <w:r w:rsidR="008D1FAD" w:rsidRPr="00AC42E3">
              <w:rPr>
                <w:rFonts w:asciiTheme="minorHAnsi" w:hAnsiTheme="minorHAnsi" w:cstheme="minorHAnsi"/>
                <w:sz w:val="24"/>
                <w:szCs w:val="24"/>
              </w:rPr>
              <w:t>The te</w:t>
            </w:r>
            <w:r w:rsidRPr="00AC42E3">
              <w:rPr>
                <w:rFonts w:asciiTheme="minorHAnsi" w:hAnsiTheme="minorHAnsi" w:cstheme="minorHAnsi"/>
                <w:sz w:val="24"/>
                <w:szCs w:val="24"/>
              </w:rPr>
              <w:t xml:space="preserve">chnical characteristics of earth stations on aircraft should also comply with the envelope defined in Appendix </w:t>
            </w:r>
            <w:r w:rsidRPr="00AC42E3">
              <w:rPr>
                <w:rFonts w:asciiTheme="minorHAnsi" w:hAnsiTheme="minorHAnsi" w:cstheme="minorHAnsi"/>
                <w:b/>
                <w:sz w:val="24"/>
                <w:szCs w:val="24"/>
              </w:rPr>
              <w:t>30B</w:t>
            </w:r>
            <w:r w:rsidRPr="00AC42E3">
              <w:rPr>
                <w:rFonts w:asciiTheme="minorHAnsi" w:hAnsiTheme="minorHAnsi" w:cstheme="minorHAnsi"/>
                <w:sz w:val="24"/>
                <w:szCs w:val="24"/>
              </w:rPr>
              <w:t xml:space="preserve"> and with the coordination agreements between administrations. </w:t>
            </w:r>
          </w:p>
          <w:p w:rsidR="0087606B" w:rsidRDefault="0087606B" w:rsidP="001A6A4B">
            <w:pPr>
              <w:autoSpaceDE w:val="0"/>
              <w:autoSpaceDN w:val="0"/>
              <w:adjustRightInd w:val="0"/>
              <w:spacing w:after="0" w:line="240" w:lineRule="auto"/>
              <w:jc w:val="both"/>
              <w:rPr>
                <w:rFonts w:asciiTheme="minorHAnsi" w:hAnsiTheme="minorHAnsi" w:cstheme="minorHAnsi"/>
                <w:sz w:val="24"/>
                <w:szCs w:val="24"/>
              </w:rPr>
            </w:pPr>
          </w:p>
          <w:p w:rsidR="0087606B" w:rsidRDefault="0087606B" w:rsidP="0087606B">
            <w:r>
              <w:rPr>
                <w:rFonts w:eastAsiaTheme="minorHAnsi"/>
              </w:rPr>
              <w:t xml:space="preserve">The ITU has addressed aeronautical and maritime earth stations operating with GSO FSS satellites in SG4 and at several WRCs that adopted technical and regulatory regimes to allow such operations. ITU-R reports include </w:t>
            </w:r>
            <w:r w:rsidRPr="00D37E6E">
              <w:rPr>
                <w:lang w:eastAsia="zh-CN"/>
              </w:rPr>
              <w:t>Report</w:t>
            </w:r>
            <w:r>
              <w:rPr>
                <w:lang w:eastAsia="zh-CN"/>
              </w:rPr>
              <w:t xml:space="preserve"> ITU-R </w:t>
            </w:r>
            <w:hyperlink r:id="rId6" w:history="1">
              <w:r w:rsidRPr="001105A6">
                <w:rPr>
                  <w:rStyle w:val="Hyperlink"/>
                  <w:rFonts w:eastAsia="Batang"/>
                  <w:lang w:eastAsia="zh-CN"/>
                </w:rPr>
                <w:t>S.2223-1</w:t>
              </w:r>
            </w:hyperlink>
            <w:r>
              <w:rPr>
                <w:lang w:eastAsia="zh-CN"/>
              </w:rPr>
              <w:t xml:space="preserve"> and ITU-R M.1643-0.  In the Radio Regulations Resolution </w:t>
            </w:r>
            <w:r w:rsidRPr="00524D86">
              <w:rPr>
                <w:b/>
                <w:bCs/>
                <w:lang w:eastAsia="zh-CN"/>
              </w:rPr>
              <w:t>902 (WRC-03)</w:t>
            </w:r>
            <w:r>
              <w:rPr>
                <w:lang w:eastAsia="zh-CN"/>
              </w:rPr>
              <w:t xml:space="preserve">, Resolution </w:t>
            </w:r>
            <w:r w:rsidRPr="00524D86">
              <w:rPr>
                <w:b/>
                <w:bCs/>
                <w:lang w:eastAsia="zh-CN"/>
              </w:rPr>
              <w:t>156 (WRC-15)</w:t>
            </w:r>
            <w:r>
              <w:rPr>
                <w:lang w:eastAsia="zh-CN"/>
              </w:rPr>
              <w:t xml:space="preserve"> and Resolution </w:t>
            </w:r>
            <w:r w:rsidRPr="00524D86">
              <w:rPr>
                <w:b/>
                <w:bCs/>
                <w:lang w:eastAsia="zh-CN"/>
              </w:rPr>
              <w:t>169 (WRC-19)</w:t>
            </w:r>
            <w:r>
              <w:rPr>
                <w:lang w:eastAsia="zh-CN"/>
              </w:rPr>
              <w:t xml:space="preserve"> define technical and regulatory rules to allow GSO FSS networks to communicate with earth stations on aircraft or vessels to provide broadband communications. These Resolutions include key aspects that would also apply to aeronautical and maritime earth stations operating with GSO FSS networks in the 12.75-13.25 GHz band such as:</w:t>
            </w:r>
          </w:p>
          <w:p w:rsidR="0087606B" w:rsidRPr="00054A1C" w:rsidRDefault="0087606B" w:rsidP="0087606B">
            <w:pPr>
              <w:pStyle w:val="ListParagraph"/>
              <w:numPr>
                <w:ilvl w:val="0"/>
                <w:numId w:val="19"/>
              </w:numPr>
              <w:rPr>
                <w:lang w:val="en-US" w:eastAsia="zh-CN"/>
              </w:rPr>
            </w:pPr>
            <w:r>
              <w:t xml:space="preserve">Need to employ an algorithm that is resistant to capturing and tracking adjacent satellite signals; </w:t>
            </w:r>
          </w:p>
          <w:p w:rsidR="0087606B" w:rsidRPr="00054A1C" w:rsidRDefault="0087606B" w:rsidP="0087606B">
            <w:pPr>
              <w:pStyle w:val="ListParagraph"/>
              <w:numPr>
                <w:ilvl w:val="0"/>
                <w:numId w:val="19"/>
              </w:numPr>
              <w:rPr>
                <w:lang w:val="en-US" w:eastAsia="zh-CN"/>
              </w:rPr>
            </w:pPr>
            <w:r>
              <w:t xml:space="preserve">Capability to </w:t>
            </w:r>
            <w:r w:rsidRPr="00054A1C">
              <w:t xml:space="preserve">immediately inhibit transmission when mispointing </w:t>
            </w:r>
            <w:r>
              <w:t>is detected;</w:t>
            </w:r>
            <w:r w:rsidRPr="00054A1C">
              <w:t xml:space="preserve"> </w:t>
            </w:r>
          </w:p>
          <w:p w:rsidR="0087606B" w:rsidRDefault="0087606B" w:rsidP="0087606B">
            <w:pPr>
              <w:pStyle w:val="ListParagraph"/>
              <w:numPr>
                <w:ilvl w:val="0"/>
                <w:numId w:val="19"/>
              </w:numPr>
              <w:rPr>
                <w:lang w:val="en-US" w:eastAsia="zh-CN"/>
              </w:rPr>
            </w:pPr>
            <w:r>
              <w:t>Self-monitoring capability to ensure compliance with applicable rules and, should a fault be detected to automatically mute any transmissions.</w:t>
            </w:r>
          </w:p>
          <w:p w:rsidR="0087606B" w:rsidRDefault="0087606B" w:rsidP="0087606B">
            <w:pPr>
              <w:pStyle w:val="ListParagraph"/>
              <w:numPr>
                <w:ilvl w:val="0"/>
                <w:numId w:val="19"/>
              </w:numPr>
              <w:rPr>
                <w:lang w:val="en-US" w:eastAsia="zh-CN"/>
              </w:rPr>
            </w:pPr>
            <w:r>
              <w:t xml:space="preserve">Requirement for earth station to be subject to the monitoring and control of a Network Control and Monitoring </w:t>
            </w:r>
            <w:proofErr w:type="spellStart"/>
            <w:r>
              <w:t>Center</w:t>
            </w:r>
            <w:proofErr w:type="spellEnd"/>
            <w:r>
              <w:t xml:space="preserve"> (NCMC) or equivalent facility.</w:t>
            </w:r>
          </w:p>
          <w:p w:rsidR="0087606B" w:rsidRDefault="0087606B" w:rsidP="0087606B">
            <w:pPr>
              <w:pStyle w:val="ListParagraph"/>
              <w:numPr>
                <w:ilvl w:val="0"/>
                <w:numId w:val="19"/>
              </w:numPr>
              <w:rPr>
                <w:lang w:val="en-US" w:eastAsia="zh-CN"/>
              </w:rPr>
            </w:pPr>
            <w:r>
              <w:rPr>
                <w:lang w:val="en-US" w:eastAsia="zh-CN"/>
              </w:rPr>
              <w:t xml:space="preserve">Technical rules to </w:t>
            </w:r>
            <w:r w:rsidRPr="003048F7">
              <w:rPr>
                <w:lang w:val="en-US" w:eastAsia="zh-CN"/>
              </w:rPr>
              <w:t xml:space="preserve">protect </w:t>
            </w:r>
            <w:r>
              <w:rPr>
                <w:lang w:val="en-US" w:eastAsia="zh-CN"/>
              </w:rPr>
              <w:t xml:space="preserve">other allocated services, including </w:t>
            </w:r>
            <w:r w:rsidRPr="003048F7">
              <w:rPr>
                <w:lang w:val="en-US" w:eastAsia="zh-CN"/>
              </w:rPr>
              <w:t>terrestrial services.</w:t>
            </w:r>
          </w:p>
          <w:p w:rsidR="007170DA" w:rsidRPr="00AC42E3" w:rsidRDefault="00DE3F77" w:rsidP="001A6A4B">
            <w:pPr>
              <w:autoSpaceDE w:val="0"/>
              <w:autoSpaceDN w:val="0"/>
              <w:adjustRightInd w:val="0"/>
              <w:spacing w:after="0" w:line="240" w:lineRule="auto"/>
              <w:jc w:val="both"/>
              <w:rPr>
                <w:rFonts w:asciiTheme="minorHAnsi" w:hAnsiTheme="minorHAnsi" w:cstheme="minorHAnsi"/>
                <w:sz w:val="24"/>
                <w:szCs w:val="24"/>
              </w:rPr>
            </w:pPr>
            <w:r w:rsidRPr="00AC42E3">
              <w:rPr>
                <w:rFonts w:asciiTheme="minorHAnsi" w:hAnsiTheme="minorHAnsi" w:cstheme="minorHAnsi"/>
                <w:sz w:val="24"/>
                <w:szCs w:val="24"/>
              </w:rPr>
              <w:tab/>
            </w:r>
          </w:p>
        </w:tc>
      </w:tr>
      <w:tr w:rsidR="007170DA" w:rsidRPr="00AC42E3" w:rsidTr="001A6A4B">
        <w:tc>
          <w:tcPr>
            <w:tcW w:w="9350" w:type="dxa"/>
          </w:tcPr>
          <w:p w:rsidR="007170DA" w:rsidRPr="00AC42E3" w:rsidRDefault="007170DA" w:rsidP="001A6A4B">
            <w:pPr>
              <w:spacing w:after="0" w:line="240" w:lineRule="auto"/>
              <w:rPr>
                <w:rFonts w:asciiTheme="minorHAnsi" w:hAnsiTheme="minorHAnsi" w:cstheme="minorHAnsi"/>
                <w:sz w:val="24"/>
                <w:szCs w:val="24"/>
                <w:lang w:val="en-GB"/>
              </w:rPr>
            </w:pPr>
            <w:r w:rsidRPr="00AC42E3">
              <w:rPr>
                <w:rFonts w:asciiTheme="minorHAnsi" w:hAnsiTheme="minorHAnsi" w:cstheme="minorHAnsi"/>
                <w:b/>
                <w:i/>
                <w:color w:val="4F81BD"/>
                <w:spacing w:val="60"/>
                <w:sz w:val="24"/>
                <w:szCs w:val="24"/>
                <w:lang w:val="en-GB"/>
              </w:rPr>
              <w:lastRenderedPageBreak/>
              <w:t xml:space="preserve">Part C: </w:t>
            </w:r>
            <w:r w:rsidR="00C93F69">
              <w:rPr>
                <w:rFonts w:asciiTheme="minorHAnsi" w:hAnsiTheme="minorHAnsi" w:cstheme="minorHAnsi"/>
                <w:b/>
                <w:i/>
                <w:color w:val="4F81BD"/>
                <w:spacing w:val="60"/>
                <w:sz w:val="24"/>
                <w:szCs w:val="24"/>
                <w:lang w:val="en-GB"/>
              </w:rPr>
              <w:t>Status of the</w:t>
            </w:r>
            <w:r w:rsidRPr="00AC42E3">
              <w:rPr>
                <w:rFonts w:asciiTheme="minorHAnsi" w:hAnsiTheme="minorHAnsi" w:cstheme="minorHAnsi"/>
                <w:b/>
                <w:i/>
                <w:color w:val="4F81BD"/>
                <w:spacing w:val="60"/>
                <w:sz w:val="24"/>
                <w:szCs w:val="24"/>
                <w:lang w:val="en-GB"/>
              </w:rPr>
              <w:t xml:space="preserve"> Bands under consideration</w:t>
            </w:r>
          </w:p>
        </w:tc>
      </w:tr>
      <w:tr w:rsidR="007170DA" w:rsidRPr="00AC42E3" w:rsidTr="001A6A4B">
        <w:trPr>
          <w:trHeight w:val="1048"/>
        </w:trPr>
        <w:tc>
          <w:tcPr>
            <w:tcW w:w="9350" w:type="dxa"/>
          </w:tcPr>
          <w:p w:rsidR="007170DA" w:rsidRPr="00AC42E3" w:rsidRDefault="007170DA" w:rsidP="001A6A4B">
            <w:pPr>
              <w:spacing w:after="0" w:line="240" w:lineRule="auto"/>
              <w:jc w:val="both"/>
              <w:rPr>
                <w:rFonts w:asciiTheme="minorHAnsi" w:hAnsiTheme="minorHAnsi" w:cstheme="minorHAnsi"/>
                <w:sz w:val="24"/>
                <w:szCs w:val="24"/>
                <w:lang w:val="en-GB"/>
              </w:rPr>
            </w:pPr>
          </w:p>
          <w:tbl>
            <w:tblPr>
              <w:tblW w:w="8810" w:type="dxa"/>
              <w:jc w:val="center"/>
              <w:tblCellMar>
                <w:left w:w="0" w:type="dxa"/>
                <w:right w:w="0" w:type="dxa"/>
              </w:tblCellMar>
              <w:tblLook w:val="04A0" w:firstRow="1" w:lastRow="0" w:firstColumn="1" w:lastColumn="0" w:noHBand="0" w:noVBand="1"/>
            </w:tblPr>
            <w:tblGrid>
              <w:gridCol w:w="1970"/>
              <w:gridCol w:w="6840"/>
            </w:tblGrid>
            <w:tr w:rsidR="005E4B68" w:rsidTr="005E4B68">
              <w:trPr>
                <w:trHeight w:val="1076"/>
                <w:jc w:val="center"/>
              </w:trPr>
              <w:tc>
                <w:tcPr>
                  <w:tcW w:w="197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E4B68" w:rsidRDefault="005E4B68" w:rsidP="005E4B68">
                  <w:pPr>
                    <w:spacing w:after="0"/>
                  </w:pPr>
                  <w:r>
                    <w:t>12.75-13.25 GHz</w:t>
                  </w:r>
                </w:p>
              </w:tc>
              <w:tc>
                <w:tcPr>
                  <w:tcW w:w="684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5E4B68" w:rsidRDefault="005E4B68" w:rsidP="005E4B68">
                  <w:pPr>
                    <w:spacing w:after="0"/>
                  </w:pPr>
                  <w:r>
                    <w:t>FIXED</w:t>
                  </w:r>
                </w:p>
                <w:p w:rsidR="005E4B68" w:rsidRDefault="005E4B68" w:rsidP="005E4B68">
                  <w:pPr>
                    <w:spacing w:after="0"/>
                  </w:pPr>
                  <w:r>
                    <w:t>FIXED-SATELLITE (Earth-to-space) 5.441</w:t>
                  </w:r>
                </w:p>
                <w:p w:rsidR="005E4B68" w:rsidRPr="003C689F" w:rsidRDefault="005E4B68" w:rsidP="005E4B68">
                  <w:pPr>
                    <w:spacing w:after="0"/>
                  </w:pPr>
                  <w:r>
                    <w:t>MOBILE</w:t>
                  </w:r>
                </w:p>
              </w:tc>
            </w:tr>
          </w:tbl>
          <w:p w:rsidR="00446AFB" w:rsidRDefault="00AC42E3" w:rsidP="001A6A4B">
            <w:pPr>
              <w:spacing w:after="0" w:line="240" w:lineRule="auto"/>
              <w:jc w:val="both"/>
              <w:rPr>
                <w:rFonts w:asciiTheme="minorHAnsi" w:hAnsiTheme="minorHAnsi" w:cstheme="minorHAnsi"/>
                <w:sz w:val="24"/>
                <w:szCs w:val="24"/>
                <w:lang w:val="en-GB"/>
              </w:rPr>
            </w:pPr>
            <w:r>
              <w:rPr>
                <w:rFonts w:asciiTheme="minorHAnsi" w:hAnsiTheme="minorHAnsi" w:cstheme="minorHAnsi"/>
                <w:sz w:val="24"/>
                <w:szCs w:val="24"/>
                <w:lang w:val="en-GB"/>
              </w:rPr>
              <w:t>The band is currently allocated on a global basis to services as shown above.</w:t>
            </w:r>
          </w:p>
          <w:p w:rsidR="00446AFB" w:rsidRPr="00AC42E3" w:rsidRDefault="00446AFB" w:rsidP="001A6A4B">
            <w:pPr>
              <w:spacing w:after="0" w:line="240" w:lineRule="auto"/>
              <w:jc w:val="both"/>
              <w:rPr>
                <w:rFonts w:asciiTheme="minorHAnsi" w:hAnsiTheme="minorHAnsi" w:cstheme="minorHAnsi"/>
                <w:sz w:val="24"/>
                <w:szCs w:val="24"/>
                <w:lang w:val="en-GB"/>
              </w:rPr>
            </w:pPr>
          </w:p>
        </w:tc>
      </w:tr>
      <w:tr w:rsidR="007170DA" w:rsidRPr="00AC42E3" w:rsidTr="001A6A4B">
        <w:trPr>
          <w:trHeight w:val="60"/>
        </w:trPr>
        <w:tc>
          <w:tcPr>
            <w:tcW w:w="9350" w:type="dxa"/>
          </w:tcPr>
          <w:p w:rsidR="007170DA" w:rsidRPr="00AC42E3" w:rsidRDefault="007170DA" w:rsidP="001A6A4B">
            <w:pPr>
              <w:spacing w:after="0" w:line="240" w:lineRule="auto"/>
              <w:rPr>
                <w:rFonts w:asciiTheme="minorHAnsi" w:hAnsiTheme="minorHAnsi" w:cstheme="minorHAnsi"/>
                <w:i/>
                <w:sz w:val="24"/>
                <w:szCs w:val="24"/>
                <w:lang w:val="en-GB"/>
              </w:rPr>
            </w:pPr>
            <w:r w:rsidRPr="00AC42E3">
              <w:rPr>
                <w:rFonts w:asciiTheme="minorHAnsi" w:hAnsiTheme="minorHAnsi" w:cstheme="minorHAnsi"/>
                <w:b/>
                <w:i/>
                <w:color w:val="4F81BD"/>
                <w:spacing w:val="60"/>
                <w:sz w:val="24"/>
                <w:szCs w:val="24"/>
                <w:lang w:val="en-GB"/>
              </w:rPr>
              <w:t>Part D: Proposed EACO Preliminary View and way forward</w:t>
            </w:r>
          </w:p>
        </w:tc>
      </w:tr>
      <w:tr w:rsidR="007170DA" w:rsidRPr="00AC42E3" w:rsidTr="001A6A4B">
        <w:trPr>
          <w:trHeight w:val="998"/>
        </w:trPr>
        <w:tc>
          <w:tcPr>
            <w:tcW w:w="9350" w:type="dxa"/>
          </w:tcPr>
          <w:p w:rsidR="002C0EE6" w:rsidRDefault="002C0EE6" w:rsidP="001A6A4B">
            <w:pPr>
              <w:spacing w:after="0" w:line="240" w:lineRule="auto"/>
              <w:jc w:val="both"/>
              <w:rPr>
                <w:rFonts w:asciiTheme="minorHAnsi" w:hAnsiTheme="minorHAnsi" w:cstheme="minorHAnsi"/>
                <w:sz w:val="24"/>
                <w:szCs w:val="24"/>
                <w:lang w:val="en-GB"/>
              </w:rPr>
            </w:pPr>
            <w:r>
              <w:rPr>
                <w:rFonts w:asciiTheme="minorHAnsi" w:hAnsiTheme="minorHAnsi" w:cstheme="minorHAnsi"/>
                <w:sz w:val="24"/>
                <w:szCs w:val="24"/>
                <w:lang w:val="en-GB"/>
              </w:rPr>
              <w:t xml:space="preserve">The aviation industry and Marine transportation within the EACO sub-region is growing steadily and have greater potential to even get much bigger. It is of key interest to EACO to follow and contribute to the ongoing studies on this agenda item </w:t>
            </w:r>
            <w:r w:rsidR="001E45B1">
              <w:rPr>
                <w:rFonts w:asciiTheme="minorHAnsi" w:hAnsiTheme="minorHAnsi" w:cstheme="minorHAnsi"/>
                <w:sz w:val="24"/>
                <w:szCs w:val="24"/>
                <w:lang w:val="en-GB"/>
              </w:rPr>
              <w:t>for a final</w:t>
            </w:r>
            <w:r>
              <w:rPr>
                <w:rFonts w:asciiTheme="minorHAnsi" w:hAnsiTheme="minorHAnsi" w:cstheme="minorHAnsi"/>
                <w:sz w:val="24"/>
                <w:szCs w:val="24"/>
                <w:lang w:val="en-GB"/>
              </w:rPr>
              <w:t xml:space="preserve"> informed decision in this regard.</w:t>
            </w:r>
          </w:p>
          <w:p w:rsidR="007170DA" w:rsidRPr="00AC42E3" w:rsidRDefault="003A5B89" w:rsidP="001A6A4B">
            <w:pPr>
              <w:spacing w:after="0" w:line="240" w:lineRule="auto"/>
              <w:jc w:val="both"/>
              <w:rPr>
                <w:rFonts w:asciiTheme="minorHAnsi" w:hAnsiTheme="minorHAnsi" w:cstheme="minorHAnsi"/>
                <w:sz w:val="24"/>
                <w:szCs w:val="24"/>
                <w:lang w:val="en-GB"/>
              </w:rPr>
            </w:pPr>
            <w:r>
              <w:rPr>
                <w:rFonts w:asciiTheme="minorHAnsi" w:hAnsiTheme="minorHAnsi" w:cstheme="minorHAnsi"/>
                <w:sz w:val="24"/>
                <w:szCs w:val="24"/>
                <w:lang w:val="en-GB"/>
              </w:rPr>
              <w:t>The</w:t>
            </w:r>
            <w:r w:rsidR="002C0EE6">
              <w:rPr>
                <w:rFonts w:asciiTheme="minorHAnsi" w:hAnsiTheme="minorHAnsi" w:cstheme="minorHAnsi"/>
                <w:sz w:val="24"/>
                <w:szCs w:val="24"/>
                <w:lang w:val="en-GB"/>
              </w:rPr>
              <w:t>se</w:t>
            </w:r>
            <w:r>
              <w:rPr>
                <w:rFonts w:asciiTheme="minorHAnsi" w:hAnsiTheme="minorHAnsi" w:cstheme="minorHAnsi"/>
                <w:sz w:val="24"/>
                <w:szCs w:val="24"/>
                <w:lang w:val="en-GB"/>
              </w:rPr>
              <w:t xml:space="preserve"> st</w:t>
            </w:r>
            <w:r w:rsidR="002C0EE6">
              <w:rPr>
                <w:rFonts w:asciiTheme="minorHAnsi" w:hAnsiTheme="minorHAnsi" w:cstheme="minorHAnsi"/>
                <w:sz w:val="24"/>
                <w:szCs w:val="24"/>
                <w:lang w:val="en-GB"/>
              </w:rPr>
              <w:t>udies need to equally consider the effect of aggregated interference from IFC stations to ensure long term protection of Fixed and Mobile Service stations.</w:t>
            </w:r>
          </w:p>
        </w:tc>
      </w:tr>
    </w:tbl>
    <w:p w:rsidR="007170DA" w:rsidRDefault="007170DA">
      <w:pPr>
        <w:rPr>
          <w:rFonts w:asciiTheme="minorHAnsi" w:hAnsiTheme="minorHAnsi" w:cstheme="minorHAnsi"/>
          <w:sz w:val="24"/>
          <w:szCs w:val="24"/>
        </w:rPr>
      </w:pPr>
    </w:p>
    <w:p w:rsidR="00595565" w:rsidRDefault="00595565">
      <w:pPr>
        <w:rPr>
          <w:rFonts w:asciiTheme="minorHAnsi" w:hAnsiTheme="minorHAnsi" w:cstheme="minorHAnsi"/>
          <w:sz w:val="24"/>
          <w:szCs w:val="24"/>
        </w:rPr>
      </w:pPr>
    </w:p>
    <w:p w:rsidR="00595565" w:rsidRDefault="00595565">
      <w:pPr>
        <w:rPr>
          <w:rFonts w:asciiTheme="minorHAnsi" w:hAnsiTheme="minorHAnsi" w:cstheme="minorHAnsi"/>
          <w:sz w:val="24"/>
          <w:szCs w:val="24"/>
        </w:rPr>
      </w:pPr>
    </w:p>
    <w:p w:rsidR="00595565" w:rsidRPr="00AC42E3" w:rsidRDefault="00595565">
      <w:pPr>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F629A" w:rsidRPr="00AC42E3" w:rsidTr="00B35344">
        <w:tc>
          <w:tcPr>
            <w:tcW w:w="9350" w:type="dxa"/>
          </w:tcPr>
          <w:p w:rsidR="00DF629A" w:rsidRPr="005F5FAE" w:rsidRDefault="00DF629A" w:rsidP="00E328DE">
            <w:pPr>
              <w:pStyle w:val="Tabletext"/>
              <w:jc w:val="center"/>
              <w:rPr>
                <w:rFonts w:asciiTheme="minorHAnsi" w:hAnsiTheme="minorHAnsi" w:cstheme="minorHAnsi"/>
                <w:b/>
                <w:sz w:val="24"/>
                <w:szCs w:val="24"/>
              </w:rPr>
            </w:pPr>
            <w:r w:rsidRPr="005F5FAE">
              <w:rPr>
                <w:rFonts w:asciiTheme="minorHAnsi" w:hAnsiTheme="minorHAnsi" w:cstheme="minorHAnsi"/>
                <w:b/>
                <w:sz w:val="24"/>
                <w:szCs w:val="24"/>
              </w:rPr>
              <w:lastRenderedPageBreak/>
              <w:t>A</w:t>
            </w:r>
            <w:r w:rsidR="00E328DE">
              <w:rPr>
                <w:rFonts w:asciiTheme="minorHAnsi" w:hAnsiTheme="minorHAnsi" w:cstheme="minorHAnsi"/>
                <w:b/>
                <w:sz w:val="24"/>
                <w:szCs w:val="24"/>
              </w:rPr>
              <w:t xml:space="preserve">genda </w:t>
            </w:r>
            <w:r w:rsidRPr="005F5FAE">
              <w:rPr>
                <w:rFonts w:asciiTheme="minorHAnsi" w:hAnsiTheme="minorHAnsi" w:cstheme="minorHAnsi"/>
                <w:b/>
                <w:sz w:val="24"/>
                <w:szCs w:val="24"/>
              </w:rPr>
              <w:t>I</w:t>
            </w:r>
            <w:r w:rsidR="00E328DE">
              <w:rPr>
                <w:rFonts w:asciiTheme="minorHAnsi" w:hAnsiTheme="minorHAnsi" w:cstheme="minorHAnsi"/>
                <w:b/>
                <w:sz w:val="24"/>
                <w:szCs w:val="24"/>
              </w:rPr>
              <w:t>tem</w:t>
            </w:r>
            <w:r w:rsidRPr="005F5FAE">
              <w:rPr>
                <w:rFonts w:asciiTheme="minorHAnsi" w:hAnsiTheme="minorHAnsi" w:cstheme="minorHAnsi"/>
                <w:b/>
                <w:sz w:val="24"/>
                <w:szCs w:val="24"/>
              </w:rPr>
              <w:t xml:space="preserve"> 1.16</w:t>
            </w:r>
            <w:r w:rsidR="005F5FAE" w:rsidRPr="005F5FAE">
              <w:rPr>
                <w:rFonts w:asciiTheme="minorHAnsi" w:hAnsiTheme="minorHAnsi" w:cstheme="minorHAnsi"/>
                <w:b/>
                <w:sz w:val="24"/>
                <w:szCs w:val="24"/>
              </w:rPr>
              <w:t xml:space="preserve"> </w:t>
            </w:r>
            <w:r w:rsidR="00D062AC">
              <w:rPr>
                <w:rFonts w:asciiTheme="minorHAnsi" w:hAnsiTheme="minorHAnsi" w:cstheme="minorHAnsi"/>
                <w:b/>
                <w:sz w:val="24"/>
                <w:szCs w:val="24"/>
              </w:rPr>
              <w:t>(</w:t>
            </w:r>
            <w:r w:rsidR="00E328DE">
              <w:rPr>
                <w:rFonts w:asciiTheme="minorHAnsi" w:hAnsiTheme="minorHAnsi" w:cstheme="minorHAnsi"/>
                <w:b/>
                <w:sz w:val="24"/>
                <w:szCs w:val="24"/>
              </w:rPr>
              <w:t xml:space="preserve">N-GSO </w:t>
            </w:r>
            <w:r w:rsidR="00D062AC">
              <w:rPr>
                <w:rFonts w:asciiTheme="minorHAnsi" w:hAnsiTheme="minorHAnsi" w:cstheme="minorHAnsi"/>
                <w:b/>
                <w:sz w:val="24"/>
                <w:szCs w:val="24"/>
              </w:rPr>
              <w:t>ESIMs)</w:t>
            </w:r>
          </w:p>
        </w:tc>
      </w:tr>
      <w:tr w:rsidR="00DF629A" w:rsidRPr="00AC42E3" w:rsidTr="00B35344">
        <w:tc>
          <w:tcPr>
            <w:tcW w:w="9350" w:type="dxa"/>
          </w:tcPr>
          <w:p w:rsidR="00DF629A" w:rsidRPr="00AC42E3" w:rsidRDefault="00DF629A" w:rsidP="00B35344">
            <w:pPr>
              <w:spacing w:after="0" w:line="240" w:lineRule="auto"/>
              <w:rPr>
                <w:rFonts w:asciiTheme="minorHAnsi" w:hAnsiTheme="minorHAnsi" w:cstheme="minorHAnsi"/>
                <w:b/>
                <w:i/>
                <w:color w:val="4F81BD"/>
                <w:spacing w:val="60"/>
                <w:sz w:val="24"/>
                <w:szCs w:val="24"/>
                <w:lang w:val="en-GB"/>
              </w:rPr>
            </w:pPr>
            <w:r w:rsidRPr="00AC42E3">
              <w:rPr>
                <w:rFonts w:asciiTheme="minorHAnsi" w:hAnsiTheme="minorHAnsi" w:cstheme="minorHAnsi"/>
                <w:b/>
                <w:i/>
                <w:color w:val="4F81BD"/>
                <w:spacing w:val="60"/>
                <w:sz w:val="24"/>
                <w:szCs w:val="24"/>
                <w:lang w:val="en-GB"/>
              </w:rPr>
              <w:t>Part A: Description</w:t>
            </w:r>
          </w:p>
        </w:tc>
      </w:tr>
      <w:tr w:rsidR="00DF629A" w:rsidRPr="00AC42E3" w:rsidTr="00B35344">
        <w:trPr>
          <w:trHeight w:val="647"/>
        </w:trPr>
        <w:tc>
          <w:tcPr>
            <w:tcW w:w="9350" w:type="dxa"/>
          </w:tcPr>
          <w:p w:rsidR="00DF629A" w:rsidRPr="00F439D5" w:rsidRDefault="00DF629A" w:rsidP="00B35344">
            <w:pPr>
              <w:spacing w:after="0" w:line="240" w:lineRule="auto"/>
              <w:jc w:val="both"/>
              <w:rPr>
                <w:rFonts w:asciiTheme="minorHAnsi" w:hAnsiTheme="minorHAnsi" w:cstheme="minorHAnsi"/>
                <w:i/>
                <w:sz w:val="24"/>
                <w:szCs w:val="24"/>
                <w:lang w:val="en-GB"/>
              </w:rPr>
            </w:pPr>
            <w:r w:rsidRPr="00F439D5">
              <w:rPr>
                <w:rFonts w:asciiTheme="minorHAnsi" w:eastAsia="SimSun" w:hAnsiTheme="minorHAnsi" w:cstheme="minorHAnsi"/>
                <w:i/>
                <w:sz w:val="24"/>
                <w:szCs w:val="24"/>
                <w:lang w:eastAsia="zh-CN"/>
              </w:rPr>
              <w:t xml:space="preserve">to study and develop technical, operational and regulatory measures, as appropriate, to facilitate the use of the frequency bands 17.7-18.6 GHz and 18.8-19.3 GHz and 19.7-20.2 GHz (space-to-Earth) and 27.5-29.1 GHz and 29.5-30 GHz (Earth-to-space) by non-GSO FSS earth stations in motion, while ensuring due protection of existing services in those frequency bands, in accordance with Resolution </w:t>
            </w:r>
            <w:r w:rsidRPr="00F439D5">
              <w:rPr>
                <w:rFonts w:asciiTheme="minorHAnsi" w:hAnsiTheme="minorHAnsi" w:cstheme="minorHAnsi"/>
                <w:b/>
                <w:bCs/>
                <w:i/>
                <w:sz w:val="24"/>
                <w:szCs w:val="24"/>
              </w:rPr>
              <w:t>173</w:t>
            </w:r>
            <w:r w:rsidRPr="00F439D5">
              <w:rPr>
                <w:rFonts w:asciiTheme="minorHAnsi" w:eastAsia="SimSun" w:hAnsiTheme="minorHAnsi" w:cstheme="minorHAnsi"/>
                <w:b/>
                <w:bCs/>
                <w:i/>
                <w:sz w:val="24"/>
                <w:szCs w:val="24"/>
                <w:lang w:eastAsia="zh-CN"/>
              </w:rPr>
              <w:t xml:space="preserve"> (WRC</w:t>
            </w:r>
            <w:r w:rsidRPr="00F439D5">
              <w:rPr>
                <w:rFonts w:asciiTheme="minorHAnsi" w:eastAsia="SimSun" w:hAnsiTheme="minorHAnsi" w:cstheme="minorHAnsi"/>
                <w:b/>
                <w:bCs/>
                <w:i/>
                <w:sz w:val="24"/>
                <w:szCs w:val="24"/>
                <w:lang w:eastAsia="zh-CN"/>
              </w:rPr>
              <w:noBreakHyphen/>
              <w:t>19)</w:t>
            </w:r>
            <w:r w:rsidRPr="00F439D5">
              <w:rPr>
                <w:rFonts w:asciiTheme="minorHAnsi" w:eastAsia="SimSun" w:hAnsiTheme="minorHAnsi" w:cstheme="minorHAnsi"/>
                <w:i/>
                <w:sz w:val="24"/>
                <w:szCs w:val="24"/>
                <w:lang w:eastAsia="zh-CN"/>
              </w:rPr>
              <w:t>;</w:t>
            </w:r>
          </w:p>
        </w:tc>
      </w:tr>
      <w:tr w:rsidR="00DF629A" w:rsidRPr="00AC42E3" w:rsidTr="00B35344">
        <w:tc>
          <w:tcPr>
            <w:tcW w:w="9350" w:type="dxa"/>
          </w:tcPr>
          <w:p w:rsidR="00DF629A" w:rsidRPr="00AC42E3" w:rsidRDefault="00DF629A" w:rsidP="00B35344">
            <w:pPr>
              <w:spacing w:after="0" w:line="240" w:lineRule="auto"/>
              <w:rPr>
                <w:rFonts w:asciiTheme="minorHAnsi" w:hAnsiTheme="minorHAnsi" w:cstheme="minorHAnsi"/>
                <w:sz w:val="24"/>
                <w:szCs w:val="24"/>
                <w:lang w:val="en-GB"/>
              </w:rPr>
            </w:pPr>
            <w:r w:rsidRPr="00AC42E3">
              <w:rPr>
                <w:rFonts w:asciiTheme="minorHAnsi" w:hAnsiTheme="minorHAnsi" w:cstheme="minorHAnsi"/>
                <w:b/>
                <w:i/>
                <w:color w:val="4F81BD"/>
                <w:spacing w:val="60"/>
                <w:sz w:val="24"/>
                <w:szCs w:val="24"/>
                <w:lang w:val="en-GB"/>
              </w:rPr>
              <w:t>Part B: Key Elements – the notables</w:t>
            </w:r>
          </w:p>
        </w:tc>
      </w:tr>
      <w:tr w:rsidR="00DF629A" w:rsidRPr="00AC42E3" w:rsidTr="00B35344">
        <w:trPr>
          <w:trHeight w:val="638"/>
        </w:trPr>
        <w:tc>
          <w:tcPr>
            <w:tcW w:w="9350" w:type="dxa"/>
          </w:tcPr>
          <w:p w:rsidR="00BA3AE0" w:rsidRDefault="00BA3AE0" w:rsidP="00B35344">
            <w:pPr>
              <w:autoSpaceDE w:val="0"/>
              <w:autoSpaceDN w:val="0"/>
              <w:adjustRightInd w:val="0"/>
              <w:spacing w:after="0" w:line="240" w:lineRule="auto"/>
              <w:jc w:val="both"/>
              <w:rPr>
                <w:rFonts w:asciiTheme="minorHAnsi" w:hAnsiTheme="minorHAnsi" w:cstheme="minorHAnsi"/>
                <w:sz w:val="24"/>
                <w:szCs w:val="24"/>
                <w:lang w:val="en-GB"/>
              </w:rPr>
            </w:pPr>
            <w:r>
              <w:rPr>
                <w:rFonts w:asciiTheme="minorHAnsi" w:hAnsiTheme="minorHAnsi" w:cstheme="minorHAnsi"/>
                <w:sz w:val="24"/>
                <w:szCs w:val="24"/>
                <w:lang w:val="en-GB"/>
              </w:rPr>
              <w:t>Resolution 173 calls for study of the technical and operational characteristics and user requirements of the different ESIMs that plan to operate in the N-GSO FSS systems in the mentioned frequency bands which will include sharing and compatibility studies.</w:t>
            </w:r>
          </w:p>
          <w:p w:rsidR="00BA3AE0" w:rsidRDefault="00BA3AE0" w:rsidP="00B35344">
            <w:pPr>
              <w:autoSpaceDE w:val="0"/>
              <w:autoSpaceDN w:val="0"/>
              <w:adjustRightInd w:val="0"/>
              <w:spacing w:after="0" w:line="240" w:lineRule="auto"/>
              <w:jc w:val="both"/>
              <w:rPr>
                <w:rFonts w:asciiTheme="minorHAnsi" w:hAnsiTheme="minorHAnsi" w:cstheme="minorHAnsi"/>
                <w:sz w:val="24"/>
                <w:szCs w:val="24"/>
                <w:lang w:val="en-GB"/>
              </w:rPr>
            </w:pPr>
          </w:p>
          <w:p w:rsidR="00DF629A" w:rsidRDefault="006E2601" w:rsidP="00B35344">
            <w:pPr>
              <w:autoSpaceDE w:val="0"/>
              <w:autoSpaceDN w:val="0"/>
              <w:adjustRightInd w:val="0"/>
              <w:spacing w:after="0" w:line="240" w:lineRule="auto"/>
              <w:jc w:val="both"/>
              <w:rPr>
                <w:rFonts w:asciiTheme="minorHAnsi" w:hAnsiTheme="minorHAnsi" w:cstheme="minorHAnsi"/>
                <w:sz w:val="24"/>
                <w:szCs w:val="24"/>
                <w:lang w:val="en-GB"/>
              </w:rPr>
            </w:pPr>
            <w:r>
              <w:rPr>
                <w:rFonts w:asciiTheme="minorHAnsi" w:hAnsiTheme="minorHAnsi" w:cstheme="minorHAnsi"/>
                <w:sz w:val="24"/>
                <w:szCs w:val="24"/>
                <w:lang w:val="en-GB"/>
              </w:rPr>
              <w:t>A</w:t>
            </w:r>
            <w:r w:rsidR="00B51790" w:rsidRPr="00BA3AE0">
              <w:rPr>
                <w:rFonts w:asciiTheme="minorHAnsi" w:hAnsiTheme="minorHAnsi" w:cstheme="minorHAnsi"/>
                <w:sz w:val="24"/>
                <w:szCs w:val="24"/>
                <w:lang w:val="en-GB"/>
              </w:rPr>
              <w:t xml:space="preserve"> correspondence group </w:t>
            </w:r>
            <w:r>
              <w:rPr>
                <w:rFonts w:asciiTheme="minorHAnsi" w:hAnsiTheme="minorHAnsi" w:cstheme="minorHAnsi"/>
                <w:sz w:val="24"/>
                <w:szCs w:val="24"/>
                <w:lang w:val="en-GB"/>
              </w:rPr>
              <w:t xml:space="preserve">was created at 4A </w:t>
            </w:r>
            <w:r w:rsidR="00640F9C">
              <w:rPr>
                <w:rFonts w:asciiTheme="minorHAnsi" w:hAnsiTheme="minorHAnsi" w:cstheme="minorHAnsi"/>
                <w:sz w:val="24"/>
                <w:szCs w:val="24"/>
                <w:lang w:val="en-GB"/>
              </w:rPr>
              <w:t xml:space="preserve">in May </w:t>
            </w:r>
            <w:r w:rsidR="00BA3AE0">
              <w:rPr>
                <w:rFonts w:asciiTheme="minorHAnsi" w:hAnsiTheme="minorHAnsi" w:cstheme="minorHAnsi"/>
                <w:sz w:val="24"/>
                <w:szCs w:val="24"/>
                <w:lang w:val="en-GB"/>
              </w:rPr>
              <w:t>to</w:t>
            </w:r>
            <w:r w:rsidR="00BA3AE0" w:rsidRPr="00BA3AE0">
              <w:rPr>
                <w:rFonts w:asciiTheme="minorHAnsi" w:hAnsiTheme="minorHAnsi" w:cstheme="minorHAnsi"/>
                <w:sz w:val="24"/>
                <w:szCs w:val="24"/>
              </w:rPr>
              <w:t xml:space="preserve"> initiate studies and compile the draft technical and operational characteristics and user requirements of the different types of ESIMs that </w:t>
            </w:r>
            <w:r w:rsidR="00BA3AE0">
              <w:rPr>
                <w:rFonts w:asciiTheme="minorHAnsi" w:hAnsiTheme="minorHAnsi" w:cstheme="minorHAnsi"/>
                <w:sz w:val="24"/>
                <w:szCs w:val="24"/>
              </w:rPr>
              <w:t>intend</w:t>
            </w:r>
            <w:r w:rsidR="00BA3AE0" w:rsidRPr="00BA3AE0">
              <w:rPr>
                <w:rFonts w:asciiTheme="minorHAnsi" w:hAnsiTheme="minorHAnsi" w:cstheme="minorHAnsi"/>
                <w:sz w:val="24"/>
                <w:szCs w:val="24"/>
              </w:rPr>
              <w:t xml:space="preserve"> to operate within non-GSO FSS systems</w:t>
            </w:r>
            <w:r w:rsidR="00BA3AE0" w:rsidRPr="00BA3AE0">
              <w:rPr>
                <w:rFonts w:asciiTheme="minorHAnsi" w:hAnsiTheme="minorHAnsi" w:cstheme="minorHAnsi"/>
                <w:sz w:val="24"/>
                <w:szCs w:val="24"/>
                <w:lang w:val="en-GB"/>
              </w:rPr>
              <w:t>.</w:t>
            </w:r>
          </w:p>
          <w:p w:rsidR="00376EAE" w:rsidRDefault="00376EAE" w:rsidP="00B35344">
            <w:pPr>
              <w:autoSpaceDE w:val="0"/>
              <w:autoSpaceDN w:val="0"/>
              <w:adjustRightInd w:val="0"/>
              <w:spacing w:after="0" w:line="240" w:lineRule="auto"/>
              <w:jc w:val="both"/>
              <w:rPr>
                <w:rFonts w:asciiTheme="minorHAnsi" w:hAnsiTheme="minorHAnsi" w:cstheme="minorHAnsi"/>
                <w:sz w:val="24"/>
                <w:szCs w:val="24"/>
                <w:lang w:val="en-GB"/>
              </w:rPr>
            </w:pPr>
          </w:p>
          <w:p w:rsidR="00376EAE" w:rsidRDefault="00376EAE" w:rsidP="00B35344">
            <w:pPr>
              <w:autoSpaceDE w:val="0"/>
              <w:autoSpaceDN w:val="0"/>
              <w:adjustRightInd w:val="0"/>
              <w:spacing w:after="0" w:line="240" w:lineRule="auto"/>
              <w:jc w:val="both"/>
              <w:rPr>
                <w:rFonts w:asciiTheme="minorHAnsi" w:hAnsiTheme="minorHAnsi" w:cstheme="minorHAnsi"/>
                <w:sz w:val="24"/>
                <w:szCs w:val="24"/>
                <w:lang w:val="en-GB"/>
              </w:rPr>
            </w:pPr>
            <w:r>
              <w:rPr>
                <w:rFonts w:asciiTheme="minorHAnsi" w:hAnsiTheme="minorHAnsi" w:cstheme="minorHAnsi"/>
                <w:sz w:val="24"/>
                <w:szCs w:val="24"/>
                <w:lang w:val="en-GB"/>
              </w:rPr>
              <w:t>The</w:t>
            </w:r>
            <w:r w:rsidR="00FA2B9B">
              <w:rPr>
                <w:rFonts w:asciiTheme="minorHAnsi" w:hAnsiTheme="minorHAnsi" w:cstheme="minorHAnsi"/>
                <w:sz w:val="24"/>
                <w:szCs w:val="24"/>
                <w:lang w:val="en-GB"/>
              </w:rPr>
              <w:t>re</w:t>
            </w:r>
            <w:r>
              <w:rPr>
                <w:rFonts w:asciiTheme="minorHAnsi" w:hAnsiTheme="minorHAnsi" w:cstheme="minorHAnsi"/>
                <w:sz w:val="24"/>
                <w:szCs w:val="24"/>
                <w:lang w:val="en-GB"/>
              </w:rPr>
              <w:t xml:space="preserve"> has been increased demand for broadband services across the globe especially for bandwidth-hungry services such as live streaming of TV shows, Movies, Music Video conferencing, VoIP among others. Like rural/remote areas, aeronautical and maritime crew and passengers can only access this broadband connectivity through satellites.</w:t>
            </w:r>
          </w:p>
          <w:p w:rsidR="00DF629A" w:rsidRDefault="00376EAE" w:rsidP="00B35344">
            <w:pPr>
              <w:autoSpaceDE w:val="0"/>
              <w:autoSpaceDN w:val="0"/>
              <w:adjustRightInd w:val="0"/>
              <w:spacing w:after="0" w:line="240" w:lineRule="auto"/>
              <w:jc w:val="both"/>
              <w:rPr>
                <w:rFonts w:asciiTheme="minorHAnsi" w:hAnsiTheme="minorHAnsi" w:cstheme="minorHAnsi"/>
                <w:sz w:val="24"/>
                <w:szCs w:val="24"/>
                <w:lang w:val="en-GB"/>
              </w:rPr>
            </w:pPr>
            <w:r>
              <w:rPr>
                <w:rFonts w:asciiTheme="minorHAnsi" w:hAnsiTheme="minorHAnsi" w:cstheme="minorHAnsi"/>
                <w:sz w:val="24"/>
                <w:szCs w:val="24"/>
                <w:lang w:val="en-GB"/>
              </w:rPr>
              <w:t xml:space="preserve">This need has been traditionally served by systems operating in the mobile satellite service utilising the L and S bands. </w:t>
            </w:r>
            <w:r w:rsidR="00FA2B9B">
              <w:rPr>
                <w:rFonts w:asciiTheme="minorHAnsi" w:hAnsiTheme="minorHAnsi" w:cstheme="minorHAnsi"/>
                <w:sz w:val="24"/>
                <w:szCs w:val="24"/>
                <w:lang w:val="en-GB"/>
              </w:rPr>
              <w:t>Due to limited capacity in this bands, there is need to carry out studies on bands which can provide much higher capacity for delivering ubiquitous broadband services on ESIMs such as the K band.</w:t>
            </w:r>
          </w:p>
          <w:p w:rsidR="005F70A1" w:rsidRDefault="005F70A1" w:rsidP="00B35344">
            <w:pPr>
              <w:autoSpaceDE w:val="0"/>
              <w:autoSpaceDN w:val="0"/>
              <w:adjustRightInd w:val="0"/>
              <w:spacing w:after="0" w:line="240" w:lineRule="auto"/>
              <w:jc w:val="both"/>
              <w:rPr>
                <w:rFonts w:asciiTheme="minorHAnsi" w:hAnsiTheme="minorHAnsi" w:cstheme="minorHAnsi"/>
                <w:sz w:val="24"/>
                <w:szCs w:val="24"/>
                <w:lang w:val="en-GB"/>
              </w:rPr>
            </w:pPr>
          </w:p>
          <w:p w:rsidR="00D05DC3" w:rsidRPr="005F70A1" w:rsidRDefault="005F70A1" w:rsidP="005F70A1">
            <w:pPr>
              <w:rPr>
                <w:lang w:eastAsia="zh-CN"/>
              </w:rPr>
            </w:pPr>
            <w:r>
              <w:rPr>
                <w:lang w:eastAsia="zh-CN"/>
              </w:rPr>
              <w:t>Operations of ESIMs communic</w:t>
            </w:r>
            <w:r w:rsidR="00640F9C">
              <w:rPr>
                <w:lang w:eastAsia="zh-CN"/>
              </w:rPr>
              <w:t>ating with GSO space stations in</w:t>
            </w:r>
            <w:r>
              <w:rPr>
                <w:lang w:eastAsia="zh-CN"/>
              </w:rPr>
              <w:t xml:space="preserve"> the fixed-satellite service was already addressed </w:t>
            </w:r>
            <w:r w:rsidRPr="007541D8">
              <w:rPr>
                <w:lang w:eastAsia="zh-CN"/>
              </w:rPr>
              <w:t xml:space="preserve">in Resolution </w:t>
            </w:r>
            <w:r w:rsidRPr="007541D8">
              <w:rPr>
                <w:b/>
                <w:lang w:eastAsia="zh-CN"/>
              </w:rPr>
              <w:t>156 (WRC-15)</w:t>
            </w:r>
            <w:r w:rsidRPr="007541D8">
              <w:rPr>
                <w:lang w:eastAsia="zh-CN"/>
              </w:rPr>
              <w:t xml:space="preserve"> </w:t>
            </w:r>
            <w:r>
              <w:rPr>
                <w:lang w:eastAsia="zh-CN"/>
              </w:rPr>
              <w:t xml:space="preserve">for operations with GSO space stations in the 19.7-20.2 GHz and 29.5-30.0 GHz frequency bands and in Resolution </w:t>
            </w:r>
            <w:r w:rsidRPr="00373330">
              <w:rPr>
                <w:b/>
                <w:lang w:eastAsia="zh-CN"/>
              </w:rPr>
              <w:t>169 (WRC-19)</w:t>
            </w:r>
            <w:r>
              <w:rPr>
                <w:lang w:eastAsia="zh-CN"/>
              </w:rPr>
              <w:t xml:space="preserve"> for operations with GSO space stations in the 17.7-19.7 GHz and 27.5-29.5 GHz frequency bands. </w:t>
            </w:r>
          </w:p>
        </w:tc>
      </w:tr>
      <w:tr w:rsidR="00DF629A" w:rsidRPr="00AC42E3" w:rsidTr="00B35344">
        <w:tc>
          <w:tcPr>
            <w:tcW w:w="9350" w:type="dxa"/>
          </w:tcPr>
          <w:p w:rsidR="00DF629A" w:rsidRPr="00AC42E3" w:rsidRDefault="00DF629A" w:rsidP="00B35344">
            <w:pPr>
              <w:spacing w:after="0" w:line="240" w:lineRule="auto"/>
              <w:rPr>
                <w:rFonts w:asciiTheme="minorHAnsi" w:hAnsiTheme="minorHAnsi" w:cstheme="minorHAnsi"/>
                <w:sz w:val="24"/>
                <w:szCs w:val="24"/>
                <w:lang w:val="en-GB"/>
              </w:rPr>
            </w:pPr>
            <w:r w:rsidRPr="00AC42E3">
              <w:rPr>
                <w:rFonts w:asciiTheme="minorHAnsi" w:hAnsiTheme="minorHAnsi" w:cstheme="minorHAnsi"/>
                <w:b/>
                <w:i/>
                <w:color w:val="4F81BD"/>
                <w:spacing w:val="60"/>
                <w:sz w:val="24"/>
                <w:szCs w:val="24"/>
                <w:lang w:val="en-GB"/>
              </w:rPr>
              <w:t xml:space="preserve">Part C: </w:t>
            </w:r>
            <w:r w:rsidR="00C93F69">
              <w:rPr>
                <w:rFonts w:asciiTheme="minorHAnsi" w:hAnsiTheme="minorHAnsi" w:cstheme="minorHAnsi"/>
                <w:b/>
                <w:i/>
                <w:color w:val="4F81BD"/>
                <w:spacing w:val="60"/>
                <w:sz w:val="24"/>
                <w:szCs w:val="24"/>
                <w:lang w:val="en-GB"/>
              </w:rPr>
              <w:t>Status of the</w:t>
            </w:r>
            <w:r w:rsidRPr="00AC42E3">
              <w:rPr>
                <w:rFonts w:asciiTheme="minorHAnsi" w:hAnsiTheme="minorHAnsi" w:cstheme="minorHAnsi"/>
                <w:b/>
                <w:i/>
                <w:color w:val="4F81BD"/>
                <w:spacing w:val="60"/>
                <w:sz w:val="24"/>
                <w:szCs w:val="24"/>
                <w:lang w:val="en-GB"/>
              </w:rPr>
              <w:t xml:space="preserve"> Bands under consideration</w:t>
            </w:r>
          </w:p>
        </w:tc>
      </w:tr>
      <w:tr w:rsidR="00DF629A" w:rsidRPr="00AC42E3" w:rsidTr="00B35344">
        <w:trPr>
          <w:trHeight w:val="1048"/>
        </w:trPr>
        <w:tc>
          <w:tcPr>
            <w:tcW w:w="9350" w:type="dxa"/>
          </w:tcPr>
          <w:p w:rsidR="00DF629A" w:rsidRDefault="00BF1879" w:rsidP="00B35344">
            <w:pPr>
              <w:spacing w:after="0" w:line="240" w:lineRule="auto"/>
              <w:jc w:val="both"/>
              <w:rPr>
                <w:rFonts w:asciiTheme="minorHAnsi" w:eastAsia="SimSun" w:hAnsiTheme="minorHAnsi" w:cstheme="minorHAnsi"/>
                <w:sz w:val="24"/>
                <w:szCs w:val="24"/>
                <w:lang w:eastAsia="zh-CN"/>
              </w:rPr>
            </w:pPr>
            <w:r w:rsidRPr="00AC42E3">
              <w:rPr>
                <w:rFonts w:asciiTheme="minorHAnsi" w:eastAsia="SimSun" w:hAnsiTheme="minorHAnsi" w:cstheme="minorHAnsi"/>
                <w:sz w:val="24"/>
                <w:szCs w:val="24"/>
                <w:lang w:eastAsia="zh-CN"/>
              </w:rPr>
              <w:t>17.7-18.6 GHz</w:t>
            </w:r>
            <w:r>
              <w:rPr>
                <w:rFonts w:asciiTheme="minorHAnsi" w:eastAsia="SimSun" w:hAnsiTheme="minorHAnsi" w:cstheme="minorHAnsi"/>
                <w:sz w:val="24"/>
                <w:szCs w:val="24"/>
                <w:lang w:eastAsia="zh-CN"/>
              </w:rPr>
              <w:t xml:space="preserve"> (</w:t>
            </w:r>
            <w:r w:rsidR="004149C0">
              <w:rPr>
                <w:rFonts w:asciiTheme="minorHAnsi" w:eastAsia="SimSun" w:hAnsiTheme="minorHAnsi" w:cstheme="minorHAnsi"/>
                <w:sz w:val="24"/>
                <w:szCs w:val="24"/>
                <w:lang w:eastAsia="zh-CN"/>
              </w:rPr>
              <w:t xml:space="preserve">MOBILE, </w:t>
            </w:r>
            <w:r>
              <w:rPr>
                <w:rFonts w:asciiTheme="minorHAnsi" w:eastAsia="SimSun" w:hAnsiTheme="minorHAnsi" w:cstheme="minorHAnsi"/>
                <w:sz w:val="24"/>
                <w:szCs w:val="24"/>
                <w:lang w:eastAsia="zh-CN"/>
              </w:rPr>
              <w:t>FIXED, FIXED-SATLLITE</w:t>
            </w:r>
            <w:r w:rsidR="004149C0">
              <w:rPr>
                <w:rFonts w:asciiTheme="minorHAnsi" w:eastAsia="SimSun" w:hAnsiTheme="minorHAnsi" w:cstheme="minorHAnsi"/>
                <w:sz w:val="24"/>
                <w:szCs w:val="24"/>
                <w:lang w:eastAsia="zh-CN"/>
              </w:rPr>
              <w:t xml:space="preserve"> </w:t>
            </w:r>
            <w:r w:rsidR="004149C0" w:rsidRPr="00335ABC">
              <w:rPr>
                <w:rFonts w:eastAsia="Times New Roman" w:cs="Calibri"/>
                <w:color w:val="000000"/>
              </w:rPr>
              <w:t>(Earth-to-space)</w:t>
            </w:r>
            <w:r>
              <w:rPr>
                <w:rFonts w:asciiTheme="minorHAnsi" w:eastAsia="SimSun" w:hAnsiTheme="minorHAnsi" w:cstheme="minorHAnsi"/>
                <w:sz w:val="24"/>
                <w:szCs w:val="24"/>
                <w:lang w:eastAsia="zh-CN"/>
              </w:rPr>
              <w:t>)</w:t>
            </w:r>
          </w:p>
          <w:p w:rsidR="00BF1879" w:rsidRDefault="00BF1879" w:rsidP="00B35344">
            <w:pPr>
              <w:spacing w:after="0" w:line="240" w:lineRule="auto"/>
              <w:jc w:val="both"/>
              <w:rPr>
                <w:rFonts w:asciiTheme="minorHAnsi" w:eastAsia="SimSun" w:hAnsiTheme="minorHAnsi" w:cstheme="minorHAnsi"/>
                <w:sz w:val="24"/>
                <w:szCs w:val="24"/>
                <w:lang w:eastAsia="zh-CN"/>
              </w:rPr>
            </w:pPr>
            <w:r w:rsidRPr="00AC42E3">
              <w:rPr>
                <w:rFonts w:asciiTheme="minorHAnsi" w:eastAsia="SimSun" w:hAnsiTheme="minorHAnsi" w:cstheme="minorHAnsi"/>
                <w:sz w:val="24"/>
                <w:szCs w:val="24"/>
                <w:lang w:eastAsia="zh-CN"/>
              </w:rPr>
              <w:t>18.8-19.3 GHz</w:t>
            </w:r>
            <w:r>
              <w:rPr>
                <w:rFonts w:asciiTheme="minorHAnsi" w:eastAsia="SimSun" w:hAnsiTheme="minorHAnsi" w:cstheme="minorHAnsi"/>
                <w:sz w:val="24"/>
                <w:szCs w:val="24"/>
                <w:lang w:eastAsia="zh-CN"/>
              </w:rPr>
              <w:t xml:space="preserve"> (</w:t>
            </w:r>
            <w:r w:rsidR="004149C0">
              <w:rPr>
                <w:rFonts w:asciiTheme="minorHAnsi" w:eastAsia="SimSun" w:hAnsiTheme="minorHAnsi" w:cstheme="minorHAnsi"/>
                <w:sz w:val="24"/>
                <w:szCs w:val="24"/>
                <w:lang w:eastAsia="zh-CN"/>
              </w:rPr>
              <w:t>EARTH EXPLORATION SATELLITE, FIXED, FIXED-SATLLITE, MOBILE</w:t>
            </w:r>
            <w:r>
              <w:rPr>
                <w:rFonts w:asciiTheme="minorHAnsi" w:eastAsia="SimSun" w:hAnsiTheme="minorHAnsi" w:cstheme="minorHAnsi"/>
                <w:sz w:val="24"/>
                <w:szCs w:val="24"/>
                <w:lang w:eastAsia="zh-CN"/>
              </w:rPr>
              <w:t>)</w:t>
            </w:r>
          </w:p>
          <w:p w:rsidR="00BF1879" w:rsidRDefault="00BF1879" w:rsidP="00B35344">
            <w:pPr>
              <w:spacing w:after="0" w:line="240" w:lineRule="auto"/>
              <w:jc w:val="both"/>
              <w:rPr>
                <w:rFonts w:asciiTheme="minorHAnsi" w:eastAsia="SimSun" w:hAnsiTheme="minorHAnsi" w:cstheme="minorHAnsi"/>
                <w:sz w:val="24"/>
                <w:szCs w:val="24"/>
                <w:lang w:eastAsia="zh-CN"/>
              </w:rPr>
            </w:pPr>
            <w:r w:rsidRPr="00AC42E3">
              <w:rPr>
                <w:rFonts w:asciiTheme="minorHAnsi" w:eastAsia="SimSun" w:hAnsiTheme="minorHAnsi" w:cstheme="minorHAnsi"/>
                <w:sz w:val="24"/>
                <w:szCs w:val="24"/>
                <w:lang w:eastAsia="zh-CN"/>
              </w:rPr>
              <w:t>19.7-20.2 GHz</w:t>
            </w:r>
            <w:r w:rsidR="004149C0">
              <w:rPr>
                <w:rFonts w:asciiTheme="minorHAnsi" w:eastAsia="SimSun" w:hAnsiTheme="minorHAnsi" w:cstheme="minorHAnsi"/>
                <w:sz w:val="24"/>
                <w:szCs w:val="24"/>
                <w:lang w:eastAsia="zh-CN"/>
              </w:rPr>
              <w:t xml:space="preserve"> (FIXED-SATELLITE, MOBILE-SATELLITE </w:t>
            </w:r>
            <w:r w:rsidR="004149C0" w:rsidRPr="00335ABC">
              <w:rPr>
                <w:rFonts w:eastAsia="Times New Roman" w:cs="Calibri"/>
                <w:color w:val="000000"/>
              </w:rPr>
              <w:t>(Earth-to-space)</w:t>
            </w:r>
            <w:r w:rsidR="004149C0">
              <w:rPr>
                <w:rFonts w:asciiTheme="minorHAnsi" w:eastAsia="SimSun" w:hAnsiTheme="minorHAnsi" w:cstheme="minorHAnsi"/>
                <w:sz w:val="24"/>
                <w:szCs w:val="24"/>
                <w:lang w:eastAsia="zh-CN"/>
              </w:rPr>
              <w:t xml:space="preserve"> )</w:t>
            </w:r>
          </w:p>
          <w:p w:rsidR="00BF1879" w:rsidRDefault="00BF1879" w:rsidP="00B35344">
            <w:pPr>
              <w:spacing w:after="0" w:line="240" w:lineRule="auto"/>
              <w:jc w:val="both"/>
              <w:rPr>
                <w:rFonts w:asciiTheme="minorHAnsi" w:eastAsia="SimSun" w:hAnsiTheme="minorHAnsi" w:cstheme="minorHAnsi"/>
                <w:sz w:val="24"/>
                <w:szCs w:val="24"/>
                <w:lang w:eastAsia="zh-CN"/>
              </w:rPr>
            </w:pPr>
            <w:r>
              <w:rPr>
                <w:rFonts w:asciiTheme="minorHAnsi" w:eastAsia="SimSun" w:hAnsiTheme="minorHAnsi" w:cstheme="minorHAnsi"/>
                <w:sz w:val="24"/>
                <w:szCs w:val="24"/>
                <w:lang w:eastAsia="zh-CN"/>
              </w:rPr>
              <w:t>27.5-29.1 GHz</w:t>
            </w:r>
            <w:r w:rsidR="004149C0">
              <w:rPr>
                <w:rFonts w:asciiTheme="minorHAnsi" w:eastAsia="SimSun" w:hAnsiTheme="minorHAnsi" w:cstheme="minorHAnsi"/>
                <w:sz w:val="24"/>
                <w:szCs w:val="24"/>
                <w:lang w:eastAsia="zh-CN"/>
              </w:rPr>
              <w:t xml:space="preserve"> (FIXED, FIXED-SATLLITE</w:t>
            </w:r>
            <w:r w:rsidR="004149C0" w:rsidRPr="00335ABC">
              <w:rPr>
                <w:rFonts w:eastAsia="Times New Roman" w:cs="Calibri"/>
                <w:color w:val="000000"/>
              </w:rPr>
              <w:t>(Earth-to-space)</w:t>
            </w:r>
            <w:r w:rsidR="004149C0">
              <w:rPr>
                <w:rFonts w:asciiTheme="minorHAnsi" w:eastAsia="SimSun" w:hAnsiTheme="minorHAnsi" w:cstheme="minorHAnsi"/>
                <w:sz w:val="24"/>
                <w:szCs w:val="24"/>
                <w:lang w:eastAsia="zh-CN"/>
              </w:rPr>
              <w:t>, MOBILE)</w:t>
            </w:r>
          </w:p>
          <w:p w:rsidR="00BF1879" w:rsidRDefault="00BF1879" w:rsidP="00B35344">
            <w:pPr>
              <w:spacing w:after="0" w:line="240" w:lineRule="auto"/>
              <w:jc w:val="both"/>
              <w:rPr>
                <w:rFonts w:asciiTheme="minorHAnsi" w:eastAsia="SimSun" w:hAnsiTheme="minorHAnsi" w:cstheme="minorHAnsi"/>
                <w:sz w:val="24"/>
                <w:szCs w:val="24"/>
                <w:lang w:eastAsia="zh-CN"/>
              </w:rPr>
            </w:pPr>
            <w:r w:rsidRPr="00AC42E3">
              <w:rPr>
                <w:rFonts w:asciiTheme="minorHAnsi" w:eastAsia="SimSun" w:hAnsiTheme="minorHAnsi" w:cstheme="minorHAnsi"/>
                <w:sz w:val="24"/>
                <w:szCs w:val="24"/>
                <w:lang w:eastAsia="zh-CN"/>
              </w:rPr>
              <w:t>29.5-30 GHz</w:t>
            </w:r>
            <w:r w:rsidR="004149C0">
              <w:rPr>
                <w:rFonts w:asciiTheme="minorHAnsi" w:eastAsia="SimSun" w:hAnsiTheme="minorHAnsi" w:cstheme="minorHAnsi"/>
                <w:sz w:val="24"/>
                <w:szCs w:val="24"/>
                <w:lang w:eastAsia="zh-CN"/>
              </w:rPr>
              <w:t xml:space="preserve"> (</w:t>
            </w:r>
            <w:r w:rsidR="004149C0" w:rsidRPr="00335ABC">
              <w:rPr>
                <w:rFonts w:eastAsia="Times New Roman" w:cs="Calibri"/>
                <w:color w:val="000000"/>
              </w:rPr>
              <w:t>FIXED-SATELLITE</w:t>
            </w:r>
            <w:r w:rsidR="004149C0">
              <w:rPr>
                <w:rFonts w:eastAsia="Times New Roman" w:cs="Calibri"/>
                <w:color w:val="000000"/>
              </w:rPr>
              <w:t xml:space="preserve">, MOBILE_SATELLITE </w:t>
            </w:r>
            <w:r w:rsidR="004149C0" w:rsidRPr="00335ABC">
              <w:rPr>
                <w:rFonts w:eastAsia="Times New Roman" w:cs="Calibri"/>
                <w:color w:val="000000"/>
              </w:rPr>
              <w:t>(Earth-to-space)</w:t>
            </w:r>
            <w:r w:rsidR="004149C0">
              <w:rPr>
                <w:rFonts w:asciiTheme="minorHAnsi" w:eastAsia="SimSun" w:hAnsiTheme="minorHAnsi" w:cstheme="minorHAnsi"/>
                <w:sz w:val="24"/>
                <w:szCs w:val="24"/>
                <w:lang w:eastAsia="zh-CN"/>
              </w:rPr>
              <w:t>)</w:t>
            </w:r>
          </w:p>
          <w:p w:rsidR="00D05DC3" w:rsidRPr="00AC42E3" w:rsidRDefault="00D05DC3" w:rsidP="00B35344">
            <w:pPr>
              <w:spacing w:after="0" w:line="240" w:lineRule="auto"/>
              <w:jc w:val="both"/>
              <w:rPr>
                <w:rFonts w:asciiTheme="minorHAnsi" w:hAnsiTheme="minorHAnsi" w:cstheme="minorHAnsi"/>
                <w:sz w:val="24"/>
                <w:szCs w:val="24"/>
                <w:lang w:val="en-GB"/>
              </w:rPr>
            </w:pPr>
          </w:p>
        </w:tc>
      </w:tr>
      <w:tr w:rsidR="00DF629A" w:rsidRPr="00AC42E3" w:rsidTr="00B35344">
        <w:trPr>
          <w:trHeight w:val="60"/>
        </w:trPr>
        <w:tc>
          <w:tcPr>
            <w:tcW w:w="9350" w:type="dxa"/>
          </w:tcPr>
          <w:p w:rsidR="00DF629A" w:rsidRPr="00AC42E3" w:rsidRDefault="00DF629A" w:rsidP="00B35344">
            <w:pPr>
              <w:spacing w:after="0" w:line="240" w:lineRule="auto"/>
              <w:rPr>
                <w:rFonts w:asciiTheme="minorHAnsi" w:hAnsiTheme="minorHAnsi" w:cstheme="minorHAnsi"/>
                <w:i/>
                <w:sz w:val="24"/>
                <w:szCs w:val="24"/>
                <w:lang w:val="en-GB"/>
              </w:rPr>
            </w:pPr>
            <w:r w:rsidRPr="00AC42E3">
              <w:rPr>
                <w:rFonts w:asciiTheme="minorHAnsi" w:hAnsiTheme="minorHAnsi" w:cstheme="minorHAnsi"/>
                <w:b/>
                <w:i/>
                <w:color w:val="4F81BD"/>
                <w:spacing w:val="60"/>
                <w:sz w:val="24"/>
                <w:szCs w:val="24"/>
                <w:lang w:val="en-GB"/>
              </w:rPr>
              <w:t>Part D: Proposed EACO Preliminary View and way forward</w:t>
            </w:r>
          </w:p>
        </w:tc>
      </w:tr>
      <w:tr w:rsidR="00DF629A" w:rsidRPr="00AC42E3" w:rsidTr="00B35344">
        <w:trPr>
          <w:trHeight w:val="998"/>
        </w:trPr>
        <w:tc>
          <w:tcPr>
            <w:tcW w:w="9350" w:type="dxa"/>
          </w:tcPr>
          <w:p w:rsidR="00DF629A" w:rsidRPr="00AC42E3" w:rsidRDefault="00BA3AE0" w:rsidP="00B35344">
            <w:pPr>
              <w:spacing w:after="0" w:line="240" w:lineRule="auto"/>
              <w:jc w:val="both"/>
              <w:rPr>
                <w:rFonts w:asciiTheme="minorHAnsi" w:hAnsiTheme="minorHAnsi" w:cstheme="minorHAnsi"/>
                <w:sz w:val="24"/>
                <w:szCs w:val="24"/>
                <w:lang w:val="en-GB"/>
              </w:rPr>
            </w:pPr>
            <w:r>
              <w:rPr>
                <w:rFonts w:asciiTheme="minorHAnsi" w:hAnsiTheme="minorHAnsi" w:cstheme="minorHAnsi"/>
                <w:sz w:val="24"/>
                <w:szCs w:val="24"/>
                <w:lang w:val="en-GB"/>
              </w:rPr>
              <w:t>EACO is encouraged to actively participate and contribute to studies on this agenda item to ensure all the pertinent aspects that are critical for EACO member states are taken into consideration and a satisfactory final position is achieved on this agenda item</w:t>
            </w:r>
          </w:p>
        </w:tc>
      </w:tr>
    </w:tbl>
    <w:p w:rsidR="00255B79" w:rsidRDefault="00255B79">
      <w:pPr>
        <w:rPr>
          <w:rFonts w:asciiTheme="minorHAnsi" w:hAnsiTheme="minorHAnsi" w:cstheme="minorHAnsi"/>
          <w:sz w:val="24"/>
          <w:szCs w:val="24"/>
        </w:rPr>
      </w:pPr>
    </w:p>
    <w:p w:rsidR="00255B79" w:rsidRPr="00AC42E3" w:rsidRDefault="00255B79">
      <w:pPr>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F629A" w:rsidRPr="00AC42E3" w:rsidTr="00B35344">
        <w:tc>
          <w:tcPr>
            <w:tcW w:w="9350" w:type="dxa"/>
          </w:tcPr>
          <w:p w:rsidR="00DF629A" w:rsidRPr="00D062AC" w:rsidRDefault="00DF629A" w:rsidP="00D062AC">
            <w:pPr>
              <w:pStyle w:val="Tabletext"/>
              <w:jc w:val="center"/>
              <w:rPr>
                <w:rFonts w:asciiTheme="minorHAnsi" w:hAnsiTheme="minorHAnsi" w:cstheme="minorHAnsi"/>
                <w:b/>
                <w:sz w:val="24"/>
                <w:szCs w:val="24"/>
              </w:rPr>
            </w:pPr>
            <w:r w:rsidRPr="00D062AC">
              <w:rPr>
                <w:rFonts w:asciiTheme="minorHAnsi" w:hAnsiTheme="minorHAnsi" w:cstheme="minorHAnsi"/>
                <w:b/>
                <w:sz w:val="24"/>
                <w:szCs w:val="24"/>
              </w:rPr>
              <w:lastRenderedPageBreak/>
              <w:t>A</w:t>
            </w:r>
            <w:r w:rsidR="00D062AC">
              <w:rPr>
                <w:rFonts w:asciiTheme="minorHAnsi" w:hAnsiTheme="minorHAnsi" w:cstheme="minorHAnsi"/>
                <w:b/>
                <w:sz w:val="24"/>
                <w:szCs w:val="24"/>
              </w:rPr>
              <w:t xml:space="preserve">genda </w:t>
            </w:r>
            <w:r w:rsidRPr="00D062AC">
              <w:rPr>
                <w:rFonts w:asciiTheme="minorHAnsi" w:hAnsiTheme="minorHAnsi" w:cstheme="minorHAnsi"/>
                <w:b/>
                <w:sz w:val="24"/>
                <w:szCs w:val="24"/>
              </w:rPr>
              <w:t>I</w:t>
            </w:r>
            <w:r w:rsidR="00D062AC">
              <w:rPr>
                <w:rFonts w:asciiTheme="minorHAnsi" w:hAnsiTheme="minorHAnsi" w:cstheme="minorHAnsi"/>
                <w:b/>
                <w:sz w:val="24"/>
                <w:szCs w:val="24"/>
              </w:rPr>
              <w:t>tem</w:t>
            </w:r>
            <w:r w:rsidRPr="00D062AC">
              <w:rPr>
                <w:rFonts w:asciiTheme="minorHAnsi" w:hAnsiTheme="minorHAnsi" w:cstheme="minorHAnsi"/>
                <w:b/>
                <w:sz w:val="24"/>
                <w:szCs w:val="24"/>
              </w:rPr>
              <w:t xml:space="preserve"> 1.17</w:t>
            </w:r>
            <w:r w:rsidR="00D062AC" w:rsidRPr="00D062AC">
              <w:rPr>
                <w:rFonts w:asciiTheme="minorHAnsi" w:hAnsiTheme="minorHAnsi" w:cstheme="minorHAnsi"/>
                <w:b/>
                <w:sz w:val="24"/>
                <w:szCs w:val="24"/>
              </w:rPr>
              <w:t xml:space="preserve"> </w:t>
            </w:r>
            <w:r w:rsidR="00D062AC">
              <w:rPr>
                <w:rFonts w:asciiTheme="minorHAnsi" w:hAnsiTheme="minorHAnsi" w:cstheme="minorHAnsi"/>
                <w:b/>
                <w:sz w:val="24"/>
                <w:szCs w:val="24"/>
              </w:rPr>
              <w:t>(</w:t>
            </w:r>
            <w:r w:rsidR="00D062AC">
              <w:rPr>
                <w:b/>
                <w:sz w:val="24"/>
                <w:szCs w:val="24"/>
              </w:rPr>
              <w:t>Inter-Satellite L</w:t>
            </w:r>
            <w:r w:rsidR="00D062AC" w:rsidRPr="00D062AC">
              <w:rPr>
                <w:b/>
                <w:sz w:val="24"/>
                <w:szCs w:val="24"/>
              </w:rPr>
              <w:t>inks</w:t>
            </w:r>
            <w:r w:rsidR="00D062AC">
              <w:rPr>
                <w:b/>
                <w:sz w:val="24"/>
                <w:szCs w:val="24"/>
              </w:rPr>
              <w:t>)</w:t>
            </w:r>
          </w:p>
        </w:tc>
      </w:tr>
      <w:tr w:rsidR="00DF629A" w:rsidRPr="00AC42E3" w:rsidTr="00B35344">
        <w:tc>
          <w:tcPr>
            <w:tcW w:w="9350" w:type="dxa"/>
          </w:tcPr>
          <w:p w:rsidR="00DF629A" w:rsidRPr="00AC42E3" w:rsidRDefault="00DF629A" w:rsidP="00B35344">
            <w:pPr>
              <w:spacing w:after="0" w:line="240" w:lineRule="auto"/>
              <w:rPr>
                <w:rFonts w:asciiTheme="minorHAnsi" w:hAnsiTheme="minorHAnsi" w:cstheme="minorHAnsi"/>
                <w:b/>
                <w:i/>
                <w:color w:val="4F81BD"/>
                <w:spacing w:val="60"/>
                <w:sz w:val="24"/>
                <w:szCs w:val="24"/>
                <w:lang w:val="en-GB"/>
              </w:rPr>
            </w:pPr>
            <w:r w:rsidRPr="00AC42E3">
              <w:rPr>
                <w:rFonts w:asciiTheme="minorHAnsi" w:hAnsiTheme="minorHAnsi" w:cstheme="minorHAnsi"/>
                <w:b/>
                <w:i/>
                <w:color w:val="4F81BD"/>
                <w:spacing w:val="60"/>
                <w:sz w:val="24"/>
                <w:szCs w:val="24"/>
                <w:lang w:val="en-GB"/>
              </w:rPr>
              <w:t>Part A: Description</w:t>
            </w:r>
          </w:p>
        </w:tc>
      </w:tr>
      <w:tr w:rsidR="00DF629A" w:rsidRPr="00AC42E3" w:rsidTr="00B35344">
        <w:trPr>
          <w:trHeight w:val="647"/>
        </w:trPr>
        <w:tc>
          <w:tcPr>
            <w:tcW w:w="9350" w:type="dxa"/>
          </w:tcPr>
          <w:p w:rsidR="00D05DC3" w:rsidRPr="00F439D5" w:rsidRDefault="00DF629A" w:rsidP="00B35344">
            <w:pPr>
              <w:spacing w:after="0" w:line="240" w:lineRule="auto"/>
              <w:jc w:val="both"/>
              <w:rPr>
                <w:rFonts w:asciiTheme="minorHAnsi" w:hAnsiTheme="minorHAnsi" w:cstheme="minorHAnsi"/>
                <w:i/>
                <w:sz w:val="24"/>
                <w:szCs w:val="24"/>
              </w:rPr>
            </w:pPr>
            <w:r w:rsidRPr="00F439D5">
              <w:rPr>
                <w:rFonts w:asciiTheme="minorHAnsi" w:hAnsiTheme="minorHAnsi" w:cstheme="minorHAnsi"/>
                <w:i/>
                <w:sz w:val="24"/>
                <w:szCs w:val="24"/>
              </w:rPr>
              <w:t>to determine and carry out, on the basis of the ITU</w:t>
            </w:r>
            <w:r w:rsidRPr="00F439D5">
              <w:rPr>
                <w:rFonts w:asciiTheme="minorHAnsi" w:hAnsiTheme="minorHAnsi" w:cstheme="minorHAnsi"/>
                <w:i/>
                <w:sz w:val="24"/>
                <w:szCs w:val="24"/>
              </w:rPr>
              <w:noBreakHyphen/>
              <w:t>R studies in</w:t>
            </w:r>
            <w:r w:rsidRPr="00F439D5">
              <w:rPr>
                <w:rFonts w:asciiTheme="minorHAnsi" w:hAnsiTheme="minorHAnsi" w:cstheme="minorHAnsi"/>
                <w:i/>
                <w:spacing w:val="-8"/>
                <w:sz w:val="24"/>
                <w:szCs w:val="24"/>
              </w:rPr>
              <w:t xml:space="preserve"> </w:t>
            </w:r>
            <w:r w:rsidRPr="00F439D5">
              <w:rPr>
                <w:rFonts w:asciiTheme="minorHAnsi" w:hAnsiTheme="minorHAnsi" w:cstheme="minorHAnsi"/>
                <w:i/>
                <w:sz w:val="24"/>
                <w:szCs w:val="24"/>
              </w:rPr>
              <w:t>accordance</w:t>
            </w:r>
            <w:r w:rsidRPr="00F439D5">
              <w:rPr>
                <w:rFonts w:asciiTheme="minorHAnsi" w:hAnsiTheme="minorHAnsi" w:cstheme="minorHAnsi"/>
                <w:i/>
                <w:spacing w:val="-2"/>
                <w:sz w:val="24"/>
                <w:szCs w:val="24"/>
              </w:rPr>
              <w:t xml:space="preserve"> </w:t>
            </w:r>
            <w:r w:rsidRPr="00F439D5">
              <w:rPr>
                <w:rFonts w:asciiTheme="minorHAnsi" w:hAnsiTheme="minorHAnsi" w:cstheme="minorHAnsi"/>
                <w:i/>
                <w:sz w:val="24"/>
                <w:szCs w:val="24"/>
              </w:rPr>
              <w:t xml:space="preserve">with Resolution </w:t>
            </w:r>
            <w:r w:rsidRPr="00F439D5">
              <w:rPr>
                <w:rFonts w:asciiTheme="minorHAnsi" w:hAnsiTheme="minorHAnsi" w:cstheme="minorHAnsi"/>
                <w:b/>
                <w:bCs/>
                <w:i/>
                <w:sz w:val="24"/>
                <w:szCs w:val="24"/>
              </w:rPr>
              <w:t>773</w:t>
            </w:r>
            <w:r w:rsidRPr="00F439D5">
              <w:rPr>
                <w:rFonts w:asciiTheme="minorHAnsi" w:hAnsiTheme="minorHAnsi" w:cstheme="minorHAnsi"/>
                <w:b/>
                <w:i/>
                <w:sz w:val="24"/>
                <w:szCs w:val="24"/>
              </w:rPr>
              <w:t xml:space="preserve"> (WRC</w:t>
            </w:r>
            <w:r w:rsidRPr="00F439D5">
              <w:rPr>
                <w:rFonts w:asciiTheme="minorHAnsi" w:hAnsiTheme="minorHAnsi" w:cstheme="minorHAnsi"/>
                <w:b/>
                <w:i/>
                <w:sz w:val="24"/>
                <w:szCs w:val="24"/>
              </w:rPr>
              <w:noBreakHyphen/>
              <w:t>19)</w:t>
            </w:r>
            <w:r w:rsidRPr="00F439D5">
              <w:rPr>
                <w:rFonts w:asciiTheme="minorHAnsi" w:hAnsiTheme="minorHAnsi" w:cstheme="minorHAnsi"/>
                <w:i/>
                <w:sz w:val="24"/>
                <w:szCs w:val="24"/>
              </w:rPr>
              <w:t>, on the appropriate regulatory actions for the provision of inter-satellite links in specific frequency bands or portions thereof, by adding an inter-satellite service allocation where appropriate;</w:t>
            </w:r>
          </w:p>
        </w:tc>
      </w:tr>
      <w:tr w:rsidR="00DF629A" w:rsidRPr="00AC42E3" w:rsidTr="00B35344">
        <w:tc>
          <w:tcPr>
            <w:tcW w:w="9350" w:type="dxa"/>
          </w:tcPr>
          <w:p w:rsidR="00DF629A" w:rsidRPr="00AC42E3" w:rsidRDefault="00DF629A" w:rsidP="00B35344">
            <w:pPr>
              <w:spacing w:after="0" w:line="240" w:lineRule="auto"/>
              <w:rPr>
                <w:rFonts w:asciiTheme="minorHAnsi" w:hAnsiTheme="minorHAnsi" w:cstheme="minorHAnsi"/>
                <w:sz w:val="24"/>
                <w:szCs w:val="24"/>
                <w:lang w:val="en-GB"/>
              </w:rPr>
            </w:pPr>
            <w:r w:rsidRPr="00AC42E3">
              <w:rPr>
                <w:rFonts w:asciiTheme="minorHAnsi" w:hAnsiTheme="minorHAnsi" w:cstheme="minorHAnsi"/>
                <w:b/>
                <w:i/>
                <w:color w:val="4F81BD"/>
                <w:spacing w:val="60"/>
                <w:sz w:val="24"/>
                <w:szCs w:val="24"/>
                <w:lang w:val="en-GB"/>
              </w:rPr>
              <w:t>Part B: Key Elements – the notables</w:t>
            </w:r>
          </w:p>
        </w:tc>
      </w:tr>
      <w:tr w:rsidR="00DF629A" w:rsidRPr="00AC42E3" w:rsidTr="00B35344">
        <w:trPr>
          <w:trHeight w:val="638"/>
        </w:trPr>
        <w:tc>
          <w:tcPr>
            <w:tcW w:w="9350" w:type="dxa"/>
          </w:tcPr>
          <w:p w:rsidR="00795B38" w:rsidRPr="001A6A4B" w:rsidRDefault="00795B38" w:rsidP="00795B38">
            <w:pPr>
              <w:spacing w:before="40" w:after="40"/>
              <w:rPr>
                <w:b/>
                <w:sz w:val="24"/>
                <w:szCs w:val="24"/>
              </w:rPr>
            </w:pPr>
            <w:r w:rsidRPr="001A6A4B">
              <w:rPr>
                <w:sz w:val="24"/>
                <w:szCs w:val="24"/>
              </w:rPr>
              <w:t>Resolution</w:t>
            </w:r>
            <w:r w:rsidRPr="001A6A4B">
              <w:rPr>
                <w:b/>
                <w:sz w:val="24"/>
                <w:szCs w:val="24"/>
              </w:rPr>
              <w:t> 773 (WRC</w:t>
            </w:r>
            <w:r w:rsidRPr="001A6A4B">
              <w:rPr>
                <w:b/>
                <w:sz w:val="24"/>
                <w:szCs w:val="24"/>
              </w:rPr>
              <w:noBreakHyphen/>
              <w:t>19)</w:t>
            </w:r>
          </w:p>
          <w:p w:rsidR="00DF629A" w:rsidRPr="001A6A4B" w:rsidRDefault="00795B38" w:rsidP="00795B38">
            <w:pPr>
              <w:autoSpaceDE w:val="0"/>
              <w:autoSpaceDN w:val="0"/>
              <w:adjustRightInd w:val="0"/>
              <w:spacing w:after="0" w:line="240" w:lineRule="auto"/>
              <w:jc w:val="both"/>
              <w:rPr>
                <w:sz w:val="24"/>
                <w:szCs w:val="24"/>
              </w:rPr>
            </w:pPr>
            <w:r w:rsidRPr="001A6A4B">
              <w:rPr>
                <w:sz w:val="24"/>
                <w:szCs w:val="24"/>
              </w:rPr>
              <w:t>Study of technical and operational issues, and regulatory provisions for satellite-to-satellite links in the frequency bands 11.7-12.7 GHz, 18.1-18.6 GHz, 18.8</w:t>
            </w:r>
            <w:r w:rsidRPr="001A6A4B">
              <w:rPr>
                <w:sz w:val="24"/>
                <w:szCs w:val="24"/>
              </w:rPr>
              <w:noBreakHyphen/>
              <w:t>20.2 GHz and 27.5-30 GHz</w:t>
            </w:r>
            <w:r w:rsidR="00B77E16" w:rsidRPr="001A6A4B">
              <w:rPr>
                <w:sz w:val="24"/>
                <w:szCs w:val="24"/>
              </w:rPr>
              <w:t>.</w:t>
            </w:r>
          </w:p>
          <w:p w:rsidR="001A6A4B" w:rsidRDefault="001A6A4B" w:rsidP="00795B38">
            <w:pPr>
              <w:autoSpaceDE w:val="0"/>
              <w:autoSpaceDN w:val="0"/>
              <w:adjustRightInd w:val="0"/>
              <w:spacing w:after="0" w:line="240" w:lineRule="auto"/>
              <w:jc w:val="both"/>
              <w:rPr>
                <w:sz w:val="20"/>
              </w:rPr>
            </w:pPr>
          </w:p>
          <w:p w:rsidR="001A6A4B" w:rsidRDefault="006E2601" w:rsidP="001A6A4B">
            <w:pPr>
              <w:spacing w:after="0" w:line="240" w:lineRule="auto"/>
              <w:jc w:val="both"/>
              <w:rPr>
                <w:rFonts w:cs="Calibri"/>
                <w:lang w:val="en-GB"/>
              </w:rPr>
            </w:pPr>
            <w:r>
              <w:rPr>
                <w:rFonts w:cs="Calibri"/>
                <w:lang w:val="en-GB"/>
              </w:rPr>
              <w:t xml:space="preserve">A </w:t>
            </w:r>
            <w:r w:rsidR="001A6A4B" w:rsidRPr="00E60FFA">
              <w:rPr>
                <w:rFonts w:cs="Calibri"/>
                <w:lang w:val="en-GB"/>
              </w:rPr>
              <w:t>correspondence group</w:t>
            </w:r>
            <w:r w:rsidR="001A6A4B">
              <w:rPr>
                <w:rFonts w:cs="Calibri"/>
                <w:lang w:val="en-GB"/>
              </w:rPr>
              <w:t xml:space="preserve"> was created with associated </w:t>
            </w:r>
            <w:proofErr w:type="spellStart"/>
            <w:r w:rsidR="001A6A4B">
              <w:rPr>
                <w:rFonts w:cs="Calibri"/>
                <w:lang w:val="en-GB"/>
              </w:rPr>
              <w:t>ToR</w:t>
            </w:r>
            <w:proofErr w:type="spellEnd"/>
            <w:r w:rsidR="001A6A4B" w:rsidRPr="00E60FFA">
              <w:rPr>
                <w:rFonts w:cs="Calibri"/>
                <w:lang w:val="en-GB"/>
              </w:rPr>
              <w:t xml:space="preserve"> </w:t>
            </w:r>
            <w:r>
              <w:rPr>
                <w:rFonts w:cs="Calibri"/>
                <w:lang w:val="en-GB"/>
              </w:rPr>
              <w:t xml:space="preserve">at 4A </w:t>
            </w:r>
            <w:r w:rsidR="001A6A4B">
              <w:rPr>
                <w:rFonts w:cs="Calibri"/>
                <w:lang w:val="en-GB"/>
              </w:rPr>
              <w:t>to initiate studies and</w:t>
            </w:r>
            <w:r w:rsidR="001A6A4B" w:rsidRPr="00E60FFA">
              <w:rPr>
                <w:rFonts w:cs="Calibri"/>
                <w:lang w:val="en-GB"/>
              </w:rPr>
              <w:t xml:space="preserve"> draft preliminary technical and operational characteristics of satellite-t</w:t>
            </w:r>
            <w:r w:rsidR="001A6A4B">
              <w:rPr>
                <w:rFonts w:cs="Calibri"/>
                <w:lang w:val="en-GB"/>
              </w:rPr>
              <w:t>o-satellite transmissions in those</w:t>
            </w:r>
            <w:r w:rsidR="001A6A4B" w:rsidRPr="00E60FFA">
              <w:rPr>
                <w:rFonts w:cs="Calibri"/>
                <w:lang w:val="en-GB"/>
              </w:rPr>
              <w:t xml:space="preserve"> frequency bands</w:t>
            </w:r>
            <w:r w:rsidR="001A6A4B">
              <w:rPr>
                <w:rFonts w:cs="Calibri"/>
                <w:lang w:val="en-GB"/>
              </w:rPr>
              <w:t xml:space="preserve"> including consideration of </w:t>
            </w:r>
            <w:r w:rsidR="001A6A4B" w:rsidRPr="00E60FFA">
              <w:rPr>
                <w:rFonts w:cs="Calibri"/>
                <w:lang w:val="en-GB"/>
              </w:rPr>
              <w:t xml:space="preserve">spectrum requirements, off-axis EIRP values and out-of-band emission limits </w:t>
            </w:r>
            <w:r w:rsidR="001A6A4B">
              <w:rPr>
                <w:rFonts w:cs="Calibri"/>
                <w:lang w:val="en-GB"/>
              </w:rPr>
              <w:t>as stated in Resolution 773 WRC-19.</w:t>
            </w:r>
          </w:p>
          <w:p w:rsidR="00640F9C" w:rsidRDefault="00640F9C" w:rsidP="001A6A4B">
            <w:pPr>
              <w:spacing w:after="0" w:line="240" w:lineRule="auto"/>
              <w:jc w:val="both"/>
              <w:rPr>
                <w:rFonts w:cs="Calibri"/>
                <w:lang w:val="en-GB"/>
              </w:rPr>
            </w:pPr>
          </w:p>
          <w:p w:rsidR="00DF629A" w:rsidRDefault="00643689" w:rsidP="00A743B9">
            <w:pPr>
              <w:spacing w:after="0" w:line="240" w:lineRule="auto"/>
              <w:jc w:val="both"/>
              <w:rPr>
                <w:rFonts w:cs="Calibri"/>
                <w:lang w:val="en-GB"/>
              </w:rPr>
            </w:pPr>
            <w:r>
              <w:rPr>
                <w:rFonts w:cs="Calibri"/>
                <w:lang w:val="en-GB"/>
              </w:rPr>
              <w:t>This agenda item is intended to serve the demand for a fast and cost effective means of downloading data from satellites to earth. This if achieved will create an efficient means for relaying payload data especially in low capacity or small satellites with limited downlink capacity which equally limits the data collection due to storage challenges resulting from limited payload space.</w:t>
            </w:r>
            <w:r w:rsidR="00A743B9">
              <w:rPr>
                <w:rFonts w:cs="Calibri"/>
                <w:lang w:val="en-GB"/>
              </w:rPr>
              <w:t xml:space="preserve"> Satellite to satellite transmissions is hence considered to be a faster way of relaying such generated data.</w:t>
            </w:r>
          </w:p>
          <w:p w:rsidR="00640F9C" w:rsidRDefault="00640F9C" w:rsidP="00A743B9">
            <w:pPr>
              <w:spacing w:after="0" w:line="240" w:lineRule="auto"/>
              <w:jc w:val="both"/>
              <w:rPr>
                <w:rFonts w:cs="Calibri"/>
                <w:lang w:val="en-GB"/>
              </w:rPr>
            </w:pPr>
          </w:p>
          <w:p w:rsidR="007D2C58" w:rsidRPr="00E60FFA" w:rsidRDefault="007D2C58" w:rsidP="007D2C58">
            <w:pPr>
              <w:autoSpaceDE w:val="0"/>
              <w:autoSpaceDN w:val="0"/>
              <w:adjustRightInd w:val="0"/>
              <w:spacing w:after="0" w:line="240" w:lineRule="auto"/>
              <w:jc w:val="both"/>
              <w:rPr>
                <w:rFonts w:cs="Calibri"/>
                <w:lang w:val="en-GB"/>
              </w:rPr>
            </w:pPr>
            <w:r>
              <w:rPr>
                <w:rFonts w:cs="Calibri"/>
                <w:lang w:val="en-GB"/>
              </w:rPr>
              <w:t>The satellite links in consideration under the agenda item include NGSO-GSO and GSO-NGSO (MEO-GEO or LEO-</w:t>
            </w:r>
            <w:r w:rsidRPr="00E60FFA">
              <w:rPr>
                <w:rFonts w:cs="Calibri"/>
                <w:lang w:val="en-GB"/>
              </w:rPr>
              <w:t>GEO)</w:t>
            </w:r>
            <w:r>
              <w:rPr>
                <w:rFonts w:cs="Calibri"/>
                <w:lang w:val="en-GB"/>
              </w:rPr>
              <w:t xml:space="preserve">, NGSO-NGSO (LEO-MEO). This should be done while maintaining the </w:t>
            </w:r>
            <w:r w:rsidRPr="00E60FFA">
              <w:rPr>
                <w:rFonts w:cs="Calibri"/>
                <w:lang w:val="en-GB"/>
              </w:rPr>
              <w:t xml:space="preserve">same envelope of operation </w:t>
            </w:r>
            <w:r>
              <w:rPr>
                <w:rFonts w:cs="Calibri"/>
                <w:lang w:val="en-GB"/>
              </w:rPr>
              <w:t xml:space="preserve">with need to keep transmission within the </w:t>
            </w:r>
            <w:r w:rsidR="00F60241">
              <w:rPr>
                <w:rFonts w:cs="Calibri"/>
                <w:lang w:val="en-GB"/>
              </w:rPr>
              <w:t>specified cone of coverage.</w:t>
            </w:r>
          </w:p>
          <w:p w:rsidR="00DF629A" w:rsidRPr="00AC42E3" w:rsidRDefault="00DF629A" w:rsidP="00B35344">
            <w:pPr>
              <w:autoSpaceDE w:val="0"/>
              <w:autoSpaceDN w:val="0"/>
              <w:adjustRightInd w:val="0"/>
              <w:spacing w:after="0" w:line="240" w:lineRule="auto"/>
              <w:jc w:val="both"/>
              <w:rPr>
                <w:rFonts w:asciiTheme="minorHAnsi" w:hAnsiTheme="minorHAnsi" w:cstheme="minorHAnsi"/>
                <w:sz w:val="24"/>
                <w:szCs w:val="24"/>
                <w:lang w:val="en-GB"/>
              </w:rPr>
            </w:pPr>
          </w:p>
        </w:tc>
      </w:tr>
      <w:tr w:rsidR="00DF629A" w:rsidRPr="00AC42E3" w:rsidTr="00B35344">
        <w:tc>
          <w:tcPr>
            <w:tcW w:w="9350" w:type="dxa"/>
          </w:tcPr>
          <w:p w:rsidR="00DF629A" w:rsidRPr="00AC42E3" w:rsidRDefault="00DF629A" w:rsidP="00B35344">
            <w:pPr>
              <w:spacing w:after="0" w:line="240" w:lineRule="auto"/>
              <w:rPr>
                <w:rFonts w:asciiTheme="minorHAnsi" w:hAnsiTheme="minorHAnsi" w:cstheme="minorHAnsi"/>
                <w:sz w:val="24"/>
                <w:szCs w:val="24"/>
                <w:lang w:val="en-GB"/>
              </w:rPr>
            </w:pPr>
            <w:r w:rsidRPr="00AC42E3">
              <w:rPr>
                <w:rFonts w:asciiTheme="minorHAnsi" w:hAnsiTheme="minorHAnsi" w:cstheme="minorHAnsi"/>
                <w:b/>
                <w:i/>
                <w:color w:val="4F81BD"/>
                <w:spacing w:val="60"/>
                <w:sz w:val="24"/>
                <w:szCs w:val="24"/>
                <w:lang w:val="en-GB"/>
              </w:rPr>
              <w:t xml:space="preserve">Part C: </w:t>
            </w:r>
            <w:r w:rsidR="00C93F69">
              <w:rPr>
                <w:rFonts w:asciiTheme="minorHAnsi" w:hAnsiTheme="minorHAnsi" w:cstheme="minorHAnsi"/>
                <w:b/>
                <w:i/>
                <w:color w:val="4F81BD"/>
                <w:spacing w:val="60"/>
                <w:sz w:val="24"/>
                <w:szCs w:val="24"/>
                <w:lang w:val="en-GB"/>
              </w:rPr>
              <w:t>Status of the</w:t>
            </w:r>
            <w:r w:rsidRPr="00AC42E3">
              <w:rPr>
                <w:rFonts w:asciiTheme="minorHAnsi" w:hAnsiTheme="minorHAnsi" w:cstheme="minorHAnsi"/>
                <w:b/>
                <w:i/>
                <w:color w:val="4F81BD"/>
                <w:spacing w:val="60"/>
                <w:sz w:val="24"/>
                <w:szCs w:val="24"/>
                <w:lang w:val="en-GB"/>
              </w:rPr>
              <w:t xml:space="preserve"> Bands under consideration</w:t>
            </w:r>
          </w:p>
        </w:tc>
      </w:tr>
      <w:tr w:rsidR="00DF629A" w:rsidRPr="00AC42E3" w:rsidTr="00B35344">
        <w:trPr>
          <w:trHeight w:val="1048"/>
        </w:trPr>
        <w:tc>
          <w:tcPr>
            <w:tcW w:w="9350" w:type="dxa"/>
          </w:tcPr>
          <w:p w:rsidR="00DF629A" w:rsidRDefault="00B77E16" w:rsidP="00B35344">
            <w:pPr>
              <w:spacing w:after="0" w:line="240" w:lineRule="auto"/>
              <w:jc w:val="both"/>
              <w:rPr>
                <w:sz w:val="20"/>
              </w:rPr>
            </w:pPr>
            <w:r w:rsidRPr="00845A14">
              <w:rPr>
                <w:sz w:val="20"/>
              </w:rPr>
              <w:t>11.7-12.7 GHz</w:t>
            </w:r>
            <w:r>
              <w:rPr>
                <w:sz w:val="20"/>
              </w:rPr>
              <w:t xml:space="preserve"> FIXED, MOBILE, BROADCASTING SATELLITE, </w:t>
            </w:r>
            <w:proofErr w:type="gramStart"/>
            <w:r>
              <w:rPr>
                <w:sz w:val="20"/>
              </w:rPr>
              <w:t>FIXED</w:t>
            </w:r>
            <w:proofErr w:type="gramEnd"/>
            <w:r>
              <w:rPr>
                <w:sz w:val="20"/>
              </w:rPr>
              <w:t xml:space="preserve"> SATELLITE.</w:t>
            </w:r>
          </w:p>
          <w:p w:rsidR="00B77E16" w:rsidRDefault="00B77E16" w:rsidP="00B35344">
            <w:pPr>
              <w:spacing w:after="0" w:line="240" w:lineRule="auto"/>
              <w:jc w:val="both"/>
              <w:rPr>
                <w:sz w:val="20"/>
              </w:rPr>
            </w:pPr>
            <w:r w:rsidRPr="00845A14">
              <w:rPr>
                <w:sz w:val="20"/>
              </w:rPr>
              <w:t>18.1-18.6 GHz</w:t>
            </w:r>
            <w:r>
              <w:rPr>
                <w:sz w:val="20"/>
              </w:rPr>
              <w:t xml:space="preserve"> FIXED, FIXED SATELLITE, MOBILE</w:t>
            </w:r>
          </w:p>
          <w:p w:rsidR="00B77E16" w:rsidRDefault="00B77E16" w:rsidP="00B35344">
            <w:pPr>
              <w:spacing w:after="0" w:line="240" w:lineRule="auto"/>
              <w:jc w:val="both"/>
              <w:rPr>
                <w:sz w:val="20"/>
              </w:rPr>
            </w:pPr>
            <w:r w:rsidRPr="00845A14">
              <w:rPr>
                <w:sz w:val="20"/>
              </w:rPr>
              <w:t>18.8</w:t>
            </w:r>
            <w:r w:rsidRPr="00845A14">
              <w:rPr>
                <w:sz w:val="20"/>
              </w:rPr>
              <w:noBreakHyphen/>
              <w:t>20.2 GHz</w:t>
            </w:r>
            <w:r>
              <w:rPr>
                <w:sz w:val="20"/>
              </w:rPr>
              <w:t xml:space="preserve"> MOBILE, FIXED, FIXED SATELLITE, MOBILE SATELLITE </w:t>
            </w:r>
          </w:p>
          <w:p w:rsidR="00B77E16" w:rsidRPr="00AC42E3" w:rsidRDefault="00B77E16" w:rsidP="00B35344">
            <w:pPr>
              <w:spacing w:after="0" w:line="240" w:lineRule="auto"/>
              <w:jc w:val="both"/>
              <w:rPr>
                <w:rFonts w:asciiTheme="minorHAnsi" w:hAnsiTheme="minorHAnsi" w:cstheme="minorHAnsi"/>
                <w:sz w:val="24"/>
                <w:szCs w:val="24"/>
                <w:lang w:val="en-GB"/>
              </w:rPr>
            </w:pPr>
            <w:r w:rsidRPr="00845A14">
              <w:rPr>
                <w:sz w:val="20"/>
              </w:rPr>
              <w:t>27.5-30 GHz</w:t>
            </w:r>
            <w:r>
              <w:rPr>
                <w:sz w:val="20"/>
              </w:rPr>
              <w:t xml:space="preserve"> FIXED, FIXED SATELLITE, MOBILE, MOBILE SATELLITE </w:t>
            </w:r>
          </w:p>
        </w:tc>
      </w:tr>
      <w:tr w:rsidR="00DF629A" w:rsidRPr="00AC42E3" w:rsidTr="00B35344">
        <w:trPr>
          <w:trHeight w:val="60"/>
        </w:trPr>
        <w:tc>
          <w:tcPr>
            <w:tcW w:w="9350" w:type="dxa"/>
          </w:tcPr>
          <w:p w:rsidR="00DF629A" w:rsidRPr="00AC42E3" w:rsidRDefault="00DF629A" w:rsidP="00B35344">
            <w:pPr>
              <w:spacing w:after="0" w:line="240" w:lineRule="auto"/>
              <w:rPr>
                <w:rFonts w:asciiTheme="minorHAnsi" w:hAnsiTheme="minorHAnsi" w:cstheme="minorHAnsi"/>
                <w:i/>
                <w:sz w:val="24"/>
                <w:szCs w:val="24"/>
                <w:lang w:val="en-GB"/>
              </w:rPr>
            </w:pPr>
            <w:r w:rsidRPr="00AC42E3">
              <w:rPr>
                <w:rFonts w:asciiTheme="minorHAnsi" w:hAnsiTheme="minorHAnsi" w:cstheme="minorHAnsi"/>
                <w:b/>
                <w:i/>
                <w:color w:val="4F81BD"/>
                <w:spacing w:val="60"/>
                <w:sz w:val="24"/>
                <w:szCs w:val="24"/>
                <w:lang w:val="en-GB"/>
              </w:rPr>
              <w:t>Part D: Proposed EACO Preliminary View and way forward</w:t>
            </w:r>
          </w:p>
        </w:tc>
      </w:tr>
      <w:tr w:rsidR="00DF629A" w:rsidRPr="00AC42E3" w:rsidTr="00B35344">
        <w:trPr>
          <w:trHeight w:val="998"/>
        </w:trPr>
        <w:tc>
          <w:tcPr>
            <w:tcW w:w="9350" w:type="dxa"/>
          </w:tcPr>
          <w:p w:rsidR="00DF629A" w:rsidRDefault="004E0B86" w:rsidP="00B35344">
            <w:pPr>
              <w:spacing w:after="0" w:line="240" w:lineRule="auto"/>
              <w:jc w:val="both"/>
              <w:rPr>
                <w:rFonts w:cs="Calibri"/>
                <w:lang w:val="en-GB"/>
              </w:rPr>
            </w:pPr>
            <w:r w:rsidRPr="00E60FFA">
              <w:rPr>
                <w:rFonts w:cs="Calibri"/>
                <w:lang w:val="en-GB"/>
              </w:rPr>
              <w:t>It</w:t>
            </w:r>
            <w:r w:rsidR="00F60241" w:rsidRPr="00E60FFA">
              <w:rPr>
                <w:rFonts w:cs="Calibri"/>
                <w:lang w:val="en-GB"/>
              </w:rPr>
              <w:t xml:space="preserve"> is important to </w:t>
            </w:r>
            <w:r w:rsidR="00F60241">
              <w:rPr>
                <w:rFonts w:cs="Calibri"/>
                <w:lang w:val="en-GB"/>
              </w:rPr>
              <w:t xml:space="preserve">ensure that adjacent </w:t>
            </w:r>
            <w:r w:rsidR="00F60241" w:rsidRPr="00E60FFA">
              <w:rPr>
                <w:rFonts w:cs="Calibri"/>
                <w:lang w:val="en-GB"/>
              </w:rPr>
              <w:t>GSOs and NGSOs</w:t>
            </w:r>
            <w:r>
              <w:rPr>
                <w:rFonts w:cs="Calibri"/>
                <w:lang w:val="en-GB"/>
              </w:rPr>
              <w:t xml:space="preserve"> stations are protected as well as protection of terrestrial stations from off-axis emissions.</w:t>
            </w:r>
          </w:p>
          <w:p w:rsidR="00F60241" w:rsidRPr="00AC42E3" w:rsidRDefault="00F60241" w:rsidP="004E0B86">
            <w:pPr>
              <w:spacing w:after="0" w:line="240" w:lineRule="auto"/>
              <w:jc w:val="both"/>
              <w:rPr>
                <w:rFonts w:asciiTheme="minorHAnsi" w:hAnsiTheme="minorHAnsi" w:cstheme="minorHAnsi"/>
                <w:sz w:val="24"/>
                <w:szCs w:val="24"/>
                <w:lang w:val="en-GB"/>
              </w:rPr>
            </w:pPr>
            <w:r>
              <w:rPr>
                <w:rFonts w:cs="Calibri"/>
                <w:lang w:val="en-GB"/>
              </w:rPr>
              <w:t>EACO member states are encouraged to actively participate and contribute to the studies on this agenda item to ensure</w:t>
            </w:r>
            <w:r w:rsidRPr="00E60FFA">
              <w:rPr>
                <w:rFonts w:cs="Calibri"/>
                <w:lang w:val="en-GB"/>
              </w:rPr>
              <w:t xml:space="preserve"> a favourable </w:t>
            </w:r>
            <w:r w:rsidR="004E0B86">
              <w:rPr>
                <w:rFonts w:cs="Calibri"/>
                <w:lang w:val="en-GB"/>
              </w:rPr>
              <w:t>and justifiable position is attained at the end of the study period.</w:t>
            </w:r>
          </w:p>
        </w:tc>
      </w:tr>
    </w:tbl>
    <w:p w:rsidR="00A743B9" w:rsidRDefault="00A743B9">
      <w:pPr>
        <w:rPr>
          <w:rFonts w:asciiTheme="minorHAnsi" w:hAnsiTheme="minorHAnsi" w:cstheme="minorHAnsi"/>
          <w:sz w:val="24"/>
          <w:szCs w:val="24"/>
        </w:rPr>
      </w:pPr>
    </w:p>
    <w:p w:rsidR="00D05DC3" w:rsidRDefault="00D05DC3">
      <w:pPr>
        <w:rPr>
          <w:rFonts w:asciiTheme="minorHAnsi" w:hAnsiTheme="minorHAnsi" w:cstheme="minorHAnsi"/>
          <w:sz w:val="24"/>
          <w:szCs w:val="24"/>
        </w:rPr>
      </w:pPr>
    </w:p>
    <w:p w:rsidR="00833D9C" w:rsidRDefault="00833D9C">
      <w:pPr>
        <w:rPr>
          <w:rFonts w:asciiTheme="minorHAnsi" w:hAnsiTheme="minorHAnsi" w:cstheme="minorHAnsi"/>
          <w:sz w:val="24"/>
          <w:szCs w:val="24"/>
        </w:rPr>
      </w:pPr>
    </w:p>
    <w:p w:rsidR="00833D9C" w:rsidRDefault="00833D9C">
      <w:pPr>
        <w:rPr>
          <w:rFonts w:asciiTheme="minorHAnsi" w:hAnsiTheme="minorHAnsi" w:cstheme="minorHAnsi"/>
          <w:sz w:val="24"/>
          <w:szCs w:val="24"/>
        </w:rPr>
      </w:pPr>
    </w:p>
    <w:p w:rsidR="00833D9C" w:rsidRPr="00AC42E3" w:rsidRDefault="00833D9C">
      <w:pPr>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F629A" w:rsidRPr="00AC42E3" w:rsidTr="00B35344">
        <w:tc>
          <w:tcPr>
            <w:tcW w:w="9350" w:type="dxa"/>
          </w:tcPr>
          <w:p w:rsidR="00DF629A" w:rsidRPr="00695DE4" w:rsidRDefault="00DF629A" w:rsidP="00930017">
            <w:pPr>
              <w:pStyle w:val="Tabletext"/>
              <w:jc w:val="center"/>
              <w:rPr>
                <w:rFonts w:asciiTheme="minorHAnsi" w:hAnsiTheme="minorHAnsi" w:cstheme="minorHAnsi"/>
                <w:b/>
                <w:sz w:val="24"/>
                <w:szCs w:val="24"/>
              </w:rPr>
            </w:pPr>
            <w:r w:rsidRPr="00695DE4">
              <w:rPr>
                <w:rFonts w:asciiTheme="minorHAnsi" w:hAnsiTheme="minorHAnsi" w:cstheme="minorHAnsi"/>
                <w:b/>
                <w:sz w:val="24"/>
                <w:szCs w:val="24"/>
              </w:rPr>
              <w:lastRenderedPageBreak/>
              <w:t>AI 1.18</w:t>
            </w:r>
            <w:r w:rsidR="00695DE4" w:rsidRPr="00695DE4">
              <w:rPr>
                <w:rFonts w:asciiTheme="minorHAnsi" w:hAnsiTheme="minorHAnsi" w:cstheme="minorHAnsi"/>
                <w:b/>
                <w:sz w:val="24"/>
                <w:szCs w:val="24"/>
              </w:rPr>
              <w:t xml:space="preserve"> (</w:t>
            </w:r>
            <w:r w:rsidR="00695DE4">
              <w:rPr>
                <w:b/>
                <w:sz w:val="24"/>
                <w:szCs w:val="24"/>
              </w:rPr>
              <w:t xml:space="preserve">Narrowband </w:t>
            </w:r>
            <w:r w:rsidR="00930017">
              <w:rPr>
                <w:b/>
                <w:sz w:val="24"/>
                <w:szCs w:val="24"/>
              </w:rPr>
              <w:t>MSS</w:t>
            </w:r>
            <w:r w:rsidR="00695DE4" w:rsidRPr="00695DE4">
              <w:rPr>
                <w:rFonts w:asciiTheme="minorHAnsi" w:hAnsiTheme="minorHAnsi" w:cstheme="minorHAnsi"/>
                <w:b/>
                <w:sz w:val="24"/>
                <w:szCs w:val="24"/>
              </w:rPr>
              <w:t>)</w:t>
            </w:r>
          </w:p>
        </w:tc>
      </w:tr>
      <w:tr w:rsidR="00DF629A" w:rsidRPr="00AC42E3" w:rsidTr="00B35344">
        <w:tc>
          <w:tcPr>
            <w:tcW w:w="9350" w:type="dxa"/>
          </w:tcPr>
          <w:p w:rsidR="00DF629A" w:rsidRPr="00AC42E3" w:rsidRDefault="00DF629A" w:rsidP="00B35344">
            <w:pPr>
              <w:spacing w:after="0" w:line="240" w:lineRule="auto"/>
              <w:rPr>
                <w:rFonts w:asciiTheme="minorHAnsi" w:hAnsiTheme="minorHAnsi" w:cstheme="minorHAnsi"/>
                <w:b/>
                <w:i/>
                <w:color w:val="4F81BD"/>
                <w:spacing w:val="60"/>
                <w:sz w:val="24"/>
                <w:szCs w:val="24"/>
                <w:lang w:val="en-GB"/>
              </w:rPr>
            </w:pPr>
            <w:r w:rsidRPr="00AC42E3">
              <w:rPr>
                <w:rFonts w:asciiTheme="minorHAnsi" w:hAnsiTheme="minorHAnsi" w:cstheme="minorHAnsi"/>
                <w:b/>
                <w:i/>
                <w:color w:val="4F81BD"/>
                <w:spacing w:val="60"/>
                <w:sz w:val="24"/>
                <w:szCs w:val="24"/>
                <w:lang w:val="en-GB"/>
              </w:rPr>
              <w:t>Part A: Description</w:t>
            </w:r>
          </w:p>
        </w:tc>
      </w:tr>
      <w:tr w:rsidR="00DF629A" w:rsidRPr="00AC42E3" w:rsidTr="00B35344">
        <w:trPr>
          <w:trHeight w:val="647"/>
        </w:trPr>
        <w:tc>
          <w:tcPr>
            <w:tcW w:w="9350" w:type="dxa"/>
          </w:tcPr>
          <w:p w:rsidR="00D05DC3" w:rsidRPr="00F439D5" w:rsidRDefault="00DF629A" w:rsidP="00B35344">
            <w:pPr>
              <w:spacing w:after="0" w:line="240" w:lineRule="auto"/>
              <w:jc w:val="both"/>
              <w:rPr>
                <w:rFonts w:asciiTheme="minorHAnsi" w:hAnsiTheme="minorHAnsi" w:cstheme="minorHAnsi"/>
                <w:i/>
                <w:sz w:val="24"/>
                <w:szCs w:val="24"/>
              </w:rPr>
            </w:pPr>
            <w:r w:rsidRPr="00F439D5">
              <w:rPr>
                <w:rFonts w:asciiTheme="minorHAnsi" w:hAnsiTheme="minorHAnsi" w:cstheme="minorHAnsi"/>
                <w:i/>
                <w:sz w:val="24"/>
                <w:szCs w:val="24"/>
              </w:rPr>
              <w:t xml:space="preserve">to consider studies relating to spectrum needs and potential new allocations to the mobile-satellite service for future development of narrowband mobile-satellite systems, in accordance with Resolution </w:t>
            </w:r>
            <w:r w:rsidRPr="00F439D5">
              <w:rPr>
                <w:rFonts w:asciiTheme="minorHAnsi" w:hAnsiTheme="minorHAnsi" w:cstheme="minorHAnsi"/>
                <w:b/>
                <w:bCs/>
                <w:i/>
                <w:sz w:val="24"/>
                <w:szCs w:val="24"/>
              </w:rPr>
              <w:t>248</w:t>
            </w:r>
            <w:r w:rsidRPr="00F439D5">
              <w:rPr>
                <w:rFonts w:asciiTheme="minorHAnsi" w:hAnsiTheme="minorHAnsi" w:cstheme="minorHAnsi"/>
                <w:i/>
                <w:sz w:val="24"/>
                <w:szCs w:val="24"/>
              </w:rPr>
              <w:t xml:space="preserve"> </w:t>
            </w:r>
            <w:r w:rsidRPr="00F439D5">
              <w:rPr>
                <w:rFonts w:asciiTheme="minorHAnsi" w:hAnsiTheme="minorHAnsi" w:cstheme="minorHAnsi"/>
                <w:b/>
                <w:bCs/>
                <w:i/>
                <w:sz w:val="24"/>
                <w:szCs w:val="24"/>
              </w:rPr>
              <w:t>(WRC</w:t>
            </w:r>
            <w:r w:rsidRPr="00F439D5">
              <w:rPr>
                <w:rFonts w:asciiTheme="minorHAnsi" w:hAnsiTheme="minorHAnsi" w:cstheme="minorHAnsi"/>
                <w:b/>
                <w:bCs/>
                <w:i/>
                <w:sz w:val="24"/>
                <w:szCs w:val="24"/>
              </w:rPr>
              <w:noBreakHyphen/>
              <w:t>19)</w:t>
            </w:r>
            <w:r w:rsidRPr="00F439D5">
              <w:rPr>
                <w:rFonts w:asciiTheme="minorHAnsi" w:hAnsiTheme="minorHAnsi" w:cstheme="minorHAnsi"/>
                <w:i/>
                <w:sz w:val="24"/>
                <w:szCs w:val="24"/>
              </w:rPr>
              <w:t>;</w:t>
            </w:r>
          </w:p>
        </w:tc>
      </w:tr>
      <w:tr w:rsidR="00DF629A" w:rsidRPr="00AC42E3" w:rsidTr="00B35344">
        <w:tc>
          <w:tcPr>
            <w:tcW w:w="9350" w:type="dxa"/>
          </w:tcPr>
          <w:p w:rsidR="00DF629A" w:rsidRPr="00AC42E3" w:rsidRDefault="00DF629A" w:rsidP="00B35344">
            <w:pPr>
              <w:spacing w:after="0" w:line="240" w:lineRule="auto"/>
              <w:rPr>
                <w:rFonts w:asciiTheme="minorHAnsi" w:hAnsiTheme="minorHAnsi" w:cstheme="minorHAnsi"/>
                <w:sz w:val="24"/>
                <w:szCs w:val="24"/>
                <w:lang w:val="en-GB"/>
              </w:rPr>
            </w:pPr>
            <w:r w:rsidRPr="00AC42E3">
              <w:rPr>
                <w:rFonts w:asciiTheme="minorHAnsi" w:hAnsiTheme="minorHAnsi" w:cstheme="minorHAnsi"/>
                <w:b/>
                <w:i/>
                <w:color w:val="4F81BD"/>
                <w:spacing w:val="60"/>
                <w:sz w:val="24"/>
                <w:szCs w:val="24"/>
                <w:lang w:val="en-GB"/>
              </w:rPr>
              <w:t>Part B: Key Elements – the notables</w:t>
            </w:r>
          </w:p>
        </w:tc>
      </w:tr>
      <w:tr w:rsidR="00DF629A" w:rsidRPr="00AC42E3" w:rsidTr="00B35344">
        <w:trPr>
          <w:trHeight w:val="638"/>
        </w:trPr>
        <w:tc>
          <w:tcPr>
            <w:tcW w:w="9350" w:type="dxa"/>
          </w:tcPr>
          <w:p w:rsidR="00E81BC3" w:rsidRPr="00BB1318" w:rsidRDefault="00E81BC3" w:rsidP="00E81BC3">
            <w:pPr>
              <w:spacing w:before="40" w:after="40"/>
              <w:rPr>
                <w:b/>
                <w:sz w:val="24"/>
                <w:szCs w:val="24"/>
              </w:rPr>
            </w:pPr>
            <w:r w:rsidRPr="00BB1318">
              <w:rPr>
                <w:sz w:val="24"/>
                <w:szCs w:val="24"/>
              </w:rPr>
              <w:t>Resolution</w:t>
            </w:r>
            <w:r w:rsidRPr="00BB1318">
              <w:rPr>
                <w:b/>
                <w:sz w:val="24"/>
                <w:szCs w:val="24"/>
              </w:rPr>
              <w:t> 248 (WRC</w:t>
            </w:r>
            <w:r w:rsidRPr="00BB1318">
              <w:rPr>
                <w:b/>
                <w:sz w:val="24"/>
                <w:szCs w:val="24"/>
              </w:rPr>
              <w:noBreakHyphen/>
              <w:t>19)</w:t>
            </w:r>
          </w:p>
          <w:p w:rsidR="00DF629A" w:rsidRDefault="00E81BC3" w:rsidP="00E81BC3">
            <w:pPr>
              <w:autoSpaceDE w:val="0"/>
              <w:autoSpaceDN w:val="0"/>
              <w:adjustRightInd w:val="0"/>
              <w:spacing w:after="0" w:line="240" w:lineRule="auto"/>
              <w:jc w:val="both"/>
              <w:rPr>
                <w:sz w:val="24"/>
                <w:szCs w:val="24"/>
              </w:rPr>
            </w:pPr>
            <w:r w:rsidRPr="00BB1318">
              <w:rPr>
                <w:sz w:val="24"/>
                <w:szCs w:val="24"/>
              </w:rPr>
              <w:t xml:space="preserve">Studies relating to spectrum needs and potential new allocations to the mobile-satellite service in the </w:t>
            </w:r>
            <w:r w:rsidRPr="00BB1318">
              <w:rPr>
                <w:rFonts w:eastAsia="SimSun" w:cs="Traditional Arabic"/>
                <w:sz w:val="24"/>
                <w:szCs w:val="24"/>
              </w:rPr>
              <w:t>frequency</w:t>
            </w:r>
            <w:r w:rsidRPr="00BB1318">
              <w:rPr>
                <w:sz w:val="24"/>
                <w:szCs w:val="24"/>
              </w:rPr>
              <w:t xml:space="preserve"> bands 1 695-1 710 MHz,</w:t>
            </w:r>
            <w:r w:rsidRPr="00BB1318" w:rsidDel="006E468E">
              <w:rPr>
                <w:sz w:val="24"/>
                <w:szCs w:val="24"/>
              </w:rPr>
              <w:t xml:space="preserve"> </w:t>
            </w:r>
            <w:r w:rsidRPr="00BB1318">
              <w:rPr>
                <w:sz w:val="24"/>
                <w:szCs w:val="24"/>
              </w:rPr>
              <w:t>2 010-2 025 MHz, 3 300</w:t>
            </w:r>
            <w:r w:rsidRPr="00BB1318">
              <w:rPr>
                <w:sz w:val="24"/>
                <w:szCs w:val="24"/>
              </w:rPr>
              <w:noBreakHyphen/>
              <w:t>3 315 MHz and 3 385-3 400 MHz for future development of narrowband mobile-satellite systems</w:t>
            </w:r>
            <w:r w:rsidR="00BB1318">
              <w:rPr>
                <w:sz w:val="24"/>
                <w:szCs w:val="24"/>
              </w:rPr>
              <w:t>.</w:t>
            </w:r>
          </w:p>
          <w:p w:rsidR="00AB0236" w:rsidRDefault="00AB0236" w:rsidP="00E81BC3">
            <w:pPr>
              <w:autoSpaceDE w:val="0"/>
              <w:autoSpaceDN w:val="0"/>
              <w:adjustRightInd w:val="0"/>
              <w:spacing w:after="0" w:line="240" w:lineRule="auto"/>
              <w:jc w:val="both"/>
              <w:rPr>
                <w:sz w:val="24"/>
                <w:szCs w:val="24"/>
              </w:rPr>
            </w:pPr>
          </w:p>
          <w:p w:rsidR="00AB0236" w:rsidRPr="00AB0236" w:rsidRDefault="00AB0236" w:rsidP="00AB0236">
            <w:pPr>
              <w:autoSpaceDE w:val="0"/>
              <w:autoSpaceDN w:val="0"/>
              <w:adjustRightInd w:val="0"/>
              <w:spacing w:after="0" w:line="240" w:lineRule="auto"/>
              <w:jc w:val="both"/>
              <w:rPr>
                <w:sz w:val="24"/>
                <w:szCs w:val="24"/>
              </w:rPr>
            </w:pPr>
            <w:r>
              <w:rPr>
                <w:sz w:val="24"/>
                <w:szCs w:val="24"/>
              </w:rPr>
              <w:t xml:space="preserve">The agenda item seeks to conduct studies on spectrum </w:t>
            </w:r>
            <w:r w:rsidR="0051740D">
              <w:rPr>
                <w:sz w:val="24"/>
                <w:szCs w:val="24"/>
              </w:rPr>
              <w:t xml:space="preserve">needs </w:t>
            </w:r>
            <w:r>
              <w:rPr>
                <w:sz w:val="24"/>
                <w:szCs w:val="24"/>
              </w:rPr>
              <w:t>an</w:t>
            </w:r>
            <w:r w:rsidR="00833D9C">
              <w:rPr>
                <w:sz w:val="24"/>
                <w:szCs w:val="24"/>
              </w:rPr>
              <w:t>d</w:t>
            </w:r>
            <w:r>
              <w:rPr>
                <w:sz w:val="24"/>
                <w:szCs w:val="24"/>
              </w:rPr>
              <w:t xml:space="preserve"> operational requirements including system characteristics of low data ra</w:t>
            </w:r>
            <w:r w:rsidR="009E05D6">
              <w:rPr>
                <w:sz w:val="24"/>
                <w:szCs w:val="24"/>
              </w:rPr>
              <w:t>te systems for the collection</w:t>
            </w:r>
            <w:r>
              <w:rPr>
                <w:sz w:val="24"/>
                <w:szCs w:val="24"/>
              </w:rPr>
              <w:t xml:space="preserve"> and management of terrestrial and MSS devices. This will involve conducting sharing and compatibility studies to determine the suitability of new allocations to the </w:t>
            </w:r>
            <w:r w:rsidR="009E05D6">
              <w:rPr>
                <w:sz w:val="24"/>
                <w:szCs w:val="24"/>
              </w:rPr>
              <w:t xml:space="preserve">narrowband </w:t>
            </w:r>
            <w:r>
              <w:rPr>
                <w:sz w:val="24"/>
                <w:szCs w:val="24"/>
              </w:rPr>
              <w:t>MSS while protecting existing services.</w:t>
            </w:r>
            <w:r w:rsidR="009E05D6">
              <w:rPr>
                <w:sz w:val="24"/>
                <w:szCs w:val="24"/>
              </w:rPr>
              <w:t xml:space="preserve"> T</w:t>
            </w:r>
            <w:r>
              <w:rPr>
                <w:sz w:val="24"/>
                <w:szCs w:val="24"/>
              </w:rPr>
              <w:t xml:space="preserve">he </w:t>
            </w:r>
            <w:r w:rsidR="009E05D6">
              <w:rPr>
                <w:sz w:val="24"/>
                <w:szCs w:val="24"/>
              </w:rPr>
              <w:t>bands under</w:t>
            </w:r>
            <w:r>
              <w:rPr>
                <w:sz w:val="24"/>
                <w:szCs w:val="24"/>
              </w:rPr>
              <w:t xml:space="preserve"> studies are as follows:</w:t>
            </w:r>
          </w:p>
          <w:p w:rsidR="00AB0236" w:rsidRPr="00AB0236" w:rsidRDefault="00AB0236" w:rsidP="00AB0236">
            <w:pPr>
              <w:tabs>
                <w:tab w:val="left" w:pos="794"/>
                <w:tab w:val="left" w:pos="1191"/>
                <w:tab w:val="left" w:pos="1588"/>
                <w:tab w:val="left" w:pos="1985"/>
              </w:tabs>
              <w:spacing w:after="0" w:line="240" w:lineRule="auto"/>
              <w:ind w:left="794" w:hanging="794"/>
              <w:rPr>
                <w:sz w:val="24"/>
                <w:szCs w:val="24"/>
              </w:rPr>
            </w:pPr>
            <w:bookmarkStart w:id="4" w:name="_Hlk23501848"/>
            <w:r w:rsidRPr="00845A14">
              <w:rPr>
                <w:sz w:val="20"/>
              </w:rPr>
              <w:tab/>
            </w:r>
            <w:r w:rsidRPr="00AB0236">
              <w:rPr>
                <w:sz w:val="24"/>
                <w:szCs w:val="24"/>
              </w:rPr>
              <w:t>1 695-1 710 MHz in Region 2,</w:t>
            </w:r>
          </w:p>
          <w:p w:rsidR="00AB0236" w:rsidRPr="00AB0236" w:rsidRDefault="00AB0236" w:rsidP="00AB0236">
            <w:pPr>
              <w:tabs>
                <w:tab w:val="left" w:pos="794"/>
                <w:tab w:val="left" w:pos="1191"/>
                <w:tab w:val="left" w:pos="1588"/>
                <w:tab w:val="left" w:pos="1985"/>
              </w:tabs>
              <w:spacing w:after="0" w:line="240" w:lineRule="auto"/>
              <w:ind w:left="794" w:hanging="794"/>
              <w:rPr>
                <w:sz w:val="24"/>
                <w:szCs w:val="24"/>
              </w:rPr>
            </w:pPr>
            <w:r w:rsidRPr="00AB0236">
              <w:rPr>
                <w:sz w:val="24"/>
                <w:szCs w:val="24"/>
              </w:rPr>
              <w:tab/>
              <w:t>2 010-2 025 MHz in Region 1,</w:t>
            </w:r>
          </w:p>
          <w:p w:rsidR="00244FE9" w:rsidRDefault="00AB0236" w:rsidP="007B00ED">
            <w:pPr>
              <w:tabs>
                <w:tab w:val="left" w:pos="794"/>
                <w:tab w:val="left" w:pos="1191"/>
                <w:tab w:val="left" w:pos="1588"/>
                <w:tab w:val="left" w:pos="1985"/>
              </w:tabs>
              <w:spacing w:after="0" w:line="240" w:lineRule="auto"/>
              <w:ind w:left="794" w:hanging="794"/>
              <w:rPr>
                <w:sz w:val="24"/>
                <w:szCs w:val="24"/>
              </w:rPr>
            </w:pPr>
            <w:r w:rsidRPr="00AB0236">
              <w:rPr>
                <w:sz w:val="24"/>
                <w:szCs w:val="24"/>
              </w:rPr>
              <w:tab/>
              <w:t>3 300-3 315 MHz, 3 385-3 400 MHz in Region 2;</w:t>
            </w:r>
            <w:bookmarkEnd w:id="4"/>
          </w:p>
          <w:p w:rsidR="007B00ED" w:rsidRDefault="007B00ED" w:rsidP="007B00ED">
            <w:pPr>
              <w:tabs>
                <w:tab w:val="left" w:pos="794"/>
                <w:tab w:val="left" w:pos="1191"/>
                <w:tab w:val="left" w:pos="1588"/>
                <w:tab w:val="left" w:pos="1985"/>
              </w:tabs>
              <w:spacing w:after="0" w:line="240" w:lineRule="auto"/>
              <w:ind w:left="794" w:hanging="794"/>
              <w:rPr>
                <w:sz w:val="24"/>
                <w:szCs w:val="24"/>
              </w:rPr>
            </w:pPr>
          </w:p>
          <w:p w:rsidR="00244FE9" w:rsidRDefault="00244FE9" w:rsidP="00244FE9">
            <w:pPr>
              <w:autoSpaceDE w:val="0"/>
              <w:autoSpaceDN w:val="0"/>
              <w:adjustRightInd w:val="0"/>
              <w:spacing w:after="0" w:line="240" w:lineRule="auto"/>
              <w:jc w:val="both"/>
              <w:rPr>
                <w:rFonts w:asciiTheme="minorHAnsi" w:eastAsiaTheme="minorHAnsi" w:hAnsiTheme="minorHAnsi" w:cstheme="minorHAnsi"/>
                <w:sz w:val="24"/>
                <w:szCs w:val="24"/>
              </w:rPr>
            </w:pPr>
            <w:r w:rsidRPr="00244FE9">
              <w:rPr>
                <w:rFonts w:asciiTheme="minorHAnsi" w:eastAsiaTheme="minorHAnsi" w:hAnsiTheme="minorHAnsi" w:cstheme="minorHAnsi"/>
                <w:sz w:val="24"/>
                <w:szCs w:val="24"/>
              </w:rPr>
              <w:t>Report ITU-R SA.2312 suggests that MSS frequency bands already allocated above</w:t>
            </w:r>
            <w:r>
              <w:rPr>
                <w:rFonts w:asciiTheme="minorHAnsi" w:eastAsiaTheme="minorHAnsi" w:hAnsiTheme="minorHAnsi" w:cstheme="minorHAnsi"/>
                <w:sz w:val="24"/>
                <w:szCs w:val="24"/>
              </w:rPr>
              <w:t xml:space="preserve"> </w:t>
            </w:r>
            <w:r w:rsidRPr="00244FE9">
              <w:rPr>
                <w:rFonts w:asciiTheme="minorHAnsi" w:eastAsiaTheme="minorHAnsi" w:hAnsiTheme="minorHAnsi" w:cstheme="minorHAnsi"/>
                <w:sz w:val="24"/>
                <w:szCs w:val="24"/>
              </w:rPr>
              <w:t>5 GHz are not suited to the inherent size, weight and power restrictio</w:t>
            </w:r>
            <w:r>
              <w:rPr>
                <w:rFonts w:asciiTheme="minorHAnsi" w:eastAsiaTheme="minorHAnsi" w:hAnsiTheme="minorHAnsi" w:cstheme="minorHAnsi"/>
                <w:sz w:val="24"/>
                <w:szCs w:val="24"/>
              </w:rPr>
              <w:t xml:space="preserve">ns of small satellites (usually </w:t>
            </w:r>
            <w:r w:rsidRPr="00244FE9">
              <w:rPr>
                <w:rFonts w:asciiTheme="minorHAnsi" w:eastAsiaTheme="minorHAnsi" w:hAnsiTheme="minorHAnsi" w:cstheme="minorHAnsi"/>
                <w:sz w:val="24"/>
                <w:szCs w:val="24"/>
              </w:rPr>
              <w:t>hav</w:t>
            </w:r>
            <w:r>
              <w:rPr>
                <w:rFonts w:asciiTheme="minorHAnsi" w:eastAsiaTheme="minorHAnsi" w:hAnsiTheme="minorHAnsi" w:cstheme="minorHAnsi"/>
                <w:sz w:val="24"/>
                <w:szCs w:val="24"/>
              </w:rPr>
              <w:t>ing a mass of less than 100 kg).</w:t>
            </w:r>
          </w:p>
          <w:p w:rsidR="00DF629A" w:rsidRPr="00244FE9" w:rsidRDefault="00244FE9" w:rsidP="00244FE9">
            <w:pPr>
              <w:autoSpaceDE w:val="0"/>
              <w:autoSpaceDN w:val="0"/>
              <w:adjustRightInd w:val="0"/>
              <w:spacing w:after="0" w:line="240" w:lineRule="auto"/>
              <w:jc w:val="both"/>
              <w:rPr>
                <w:rFonts w:asciiTheme="minorHAnsi" w:eastAsiaTheme="minorHAnsi" w:hAnsiTheme="minorHAnsi" w:cstheme="minorHAnsi"/>
                <w:sz w:val="24"/>
                <w:szCs w:val="24"/>
              </w:rPr>
            </w:pPr>
            <w:r>
              <w:rPr>
                <w:rFonts w:asciiTheme="minorHAnsi" w:eastAsiaTheme="minorHAnsi" w:hAnsiTheme="minorHAnsi" w:cstheme="minorHAnsi"/>
                <w:sz w:val="24"/>
                <w:szCs w:val="24"/>
              </w:rPr>
              <w:t>T</w:t>
            </w:r>
            <w:r w:rsidRPr="00244FE9">
              <w:rPr>
                <w:rFonts w:asciiTheme="minorHAnsi" w:eastAsiaTheme="minorHAnsi" w:hAnsiTheme="minorHAnsi" w:cstheme="minorHAnsi"/>
                <w:sz w:val="24"/>
                <w:szCs w:val="24"/>
              </w:rPr>
              <w:t>he number of mobile-satellite system</w:t>
            </w:r>
            <w:r>
              <w:rPr>
                <w:rFonts w:asciiTheme="minorHAnsi" w:eastAsiaTheme="minorHAnsi" w:hAnsiTheme="minorHAnsi" w:cstheme="minorHAnsi"/>
                <w:sz w:val="24"/>
                <w:szCs w:val="24"/>
              </w:rPr>
              <w:t xml:space="preserve">s using small satellites for low data rate transmissions </w:t>
            </w:r>
            <w:r w:rsidRPr="00244FE9">
              <w:rPr>
                <w:rFonts w:asciiTheme="minorHAnsi" w:eastAsiaTheme="minorHAnsi" w:hAnsiTheme="minorHAnsi" w:cstheme="minorHAnsi"/>
                <w:sz w:val="24"/>
                <w:szCs w:val="24"/>
              </w:rPr>
              <w:t xml:space="preserve">is growing and the spectrum demand </w:t>
            </w:r>
            <w:r>
              <w:rPr>
                <w:rFonts w:asciiTheme="minorHAnsi" w:eastAsiaTheme="minorHAnsi" w:hAnsiTheme="minorHAnsi" w:cstheme="minorHAnsi"/>
                <w:sz w:val="24"/>
                <w:szCs w:val="24"/>
              </w:rPr>
              <w:t xml:space="preserve">is equally increasing. Such systems </w:t>
            </w:r>
            <w:r w:rsidRPr="00244FE9">
              <w:rPr>
                <w:rFonts w:asciiTheme="minorHAnsi" w:eastAsiaTheme="minorHAnsi" w:hAnsiTheme="minorHAnsi" w:cstheme="minorHAnsi"/>
                <w:sz w:val="24"/>
                <w:szCs w:val="24"/>
              </w:rPr>
              <w:t xml:space="preserve">may include a combination of low power and intermittent transmissions </w:t>
            </w:r>
            <w:r>
              <w:rPr>
                <w:rFonts w:asciiTheme="minorHAnsi" w:eastAsiaTheme="minorHAnsi" w:hAnsiTheme="minorHAnsi" w:cstheme="minorHAnsi"/>
                <w:sz w:val="24"/>
                <w:szCs w:val="24"/>
              </w:rPr>
              <w:t>intended to facilitate spectrum sharing. T</w:t>
            </w:r>
            <w:r w:rsidRPr="00244FE9">
              <w:rPr>
                <w:rFonts w:asciiTheme="minorHAnsi" w:eastAsiaTheme="minorHAnsi" w:hAnsiTheme="minorHAnsi" w:cstheme="minorHAnsi"/>
                <w:sz w:val="24"/>
                <w:szCs w:val="24"/>
              </w:rPr>
              <w:t xml:space="preserve">he examples, technical characteristics and benefits of </w:t>
            </w:r>
            <w:r>
              <w:rPr>
                <w:rFonts w:asciiTheme="minorHAnsi" w:eastAsiaTheme="minorHAnsi" w:hAnsiTheme="minorHAnsi" w:cstheme="minorHAnsi"/>
                <w:sz w:val="24"/>
                <w:szCs w:val="24"/>
              </w:rPr>
              <w:t xml:space="preserve">such satellites given in Report </w:t>
            </w:r>
            <w:r w:rsidRPr="00244FE9">
              <w:rPr>
                <w:rFonts w:asciiTheme="minorHAnsi" w:eastAsiaTheme="minorHAnsi" w:hAnsiTheme="minorHAnsi" w:cstheme="minorHAnsi"/>
                <w:sz w:val="24"/>
                <w:szCs w:val="24"/>
              </w:rPr>
              <w:t>ITU-R SA.2312;</w:t>
            </w:r>
          </w:p>
          <w:p w:rsidR="00DF629A" w:rsidRPr="00AC42E3" w:rsidRDefault="00DF629A" w:rsidP="00B35344">
            <w:pPr>
              <w:autoSpaceDE w:val="0"/>
              <w:autoSpaceDN w:val="0"/>
              <w:adjustRightInd w:val="0"/>
              <w:spacing w:after="0" w:line="240" w:lineRule="auto"/>
              <w:jc w:val="both"/>
              <w:rPr>
                <w:rFonts w:asciiTheme="minorHAnsi" w:hAnsiTheme="minorHAnsi" w:cstheme="minorHAnsi"/>
                <w:sz w:val="24"/>
                <w:szCs w:val="24"/>
                <w:lang w:val="en-GB"/>
              </w:rPr>
            </w:pPr>
          </w:p>
        </w:tc>
      </w:tr>
      <w:tr w:rsidR="00DF629A" w:rsidRPr="00AC42E3" w:rsidTr="00B35344">
        <w:tc>
          <w:tcPr>
            <w:tcW w:w="9350" w:type="dxa"/>
          </w:tcPr>
          <w:p w:rsidR="00DF629A" w:rsidRPr="00AC42E3" w:rsidRDefault="00DF629A" w:rsidP="00B35344">
            <w:pPr>
              <w:spacing w:after="0" w:line="240" w:lineRule="auto"/>
              <w:rPr>
                <w:rFonts w:asciiTheme="minorHAnsi" w:hAnsiTheme="minorHAnsi" w:cstheme="minorHAnsi"/>
                <w:sz w:val="24"/>
                <w:szCs w:val="24"/>
                <w:lang w:val="en-GB"/>
              </w:rPr>
            </w:pPr>
            <w:r w:rsidRPr="00AC42E3">
              <w:rPr>
                <w:rFonts w:asciiTheme="minorHAnsi" w:hAnsiTheme="minorHAnsi" w:cstheme="minorHAnsi"/>
                <w:b/>
                <w:i/>
                <w:color w:val="4F81BD"/>
                <w:spacing w:val="60"/>
                <w:sz w:val="24"/>
                <w:szCs w:val="24"/>
                <w:lang w:val="en-GB"/>
              </w:rPr>
              <w:t xml:space="preserve">Part C: </w:t>
            </w:r>
            <w:r w:rsidR="00C93F69">
              <w:rPr>
                <w:rFonts w:asciiTheme="minorHAnsi" w:hAnsiTheme="minorHAnsi" w:cstheme="minorHAnsi"/>
                <w:b/>
                <w:i/>
                <w:color w:val="4F81BD"/>
                <w:spacing w:val="60"/>
                <w:sz w:val="24"/>
                <w:szCs w:val="24"/>
                <w:lang w:val="en-GB"/>
              </w:rPr>
              <w:t>Status of the</w:t>
            </w:r>
            <w:r w:rsidRPr="00AC42E3">
              <w:rPr>
                <w:rFonts w:asciiTheme="minorHAnsi" w:hAnsiTheme="minorHAnsi" w:cstheme="minorHAnsi"/>
                <w:b/>
                <w:i/>
                <w:color w:val="4F81BD"/>
                <w:spacing w:val="60"/>
                <w:sz w:val="24"/>
                <w:szCs w:val="24"/>
                <w:lang w:val="en-GB"/>
              </w:rPr>
              <w:t xml:space="preserve"> Bands under consideration</w:t>
            </w:r>
          </w:p>
        </w:tc>
      </w:tr>
      <w:tr w:rsidR="00DF629A" w:rsidRPr="00AC42E3" w:rsidTr="00B35344">
        <w:trPr>
          <w:trHeight w:val="1048"/>
        </w:trPr>
        <w:tc>
          <w:tcPr>
            <w:tcW w:w="9350" w:type="dxa"/>
          </w:tcPr>
          <w:p w:rsidR="00DF629A" w:rsidRPr="00F92373" w:rsidRDefault="00B77E16" w:rsidP="00B35344">
            <w:pPr>
              <w:spacing w:after="0" w:line="240" w:lineRule="auto"/>
              <w:jc w:val="both"/>
              <w:rPr>
                <w:sz w:val="24"/>
                <w:szCs w:val="24"/>
              </w:rPr>
            </w:pPr>
            <w:r w:rsidRPr="00F92373">
              <w:rPr>
                <w:sz w:val="24"/>
                <w:szCs w:val="24"/>
              </w:rPr>
              <w:t>1 695-1 710 MHz</w:t>
            </w:r>
            <w:r w:rsidR="004729AE" w:rsidRPr="00F92373">
              <w:rPr>
                <w:sz w:val="24"/>
                <w:szCs w:val="24"/>
              </w:rPr>
              <w:t xml:space="preserve"> </w:t>
            </w:r>
            <w:r w:rsidR="004729AE" w:rsidRPr="00F92373">
              <w:rPr>
                <w:rFonts w:eastAsia="Times New Roman" w:cs="Calibri"/>
                <w:color w:val="000000"/>
                <w:sz w:val="24"/>
                <w:szCs w:val="24"/>
              </w:rPr>
              <w:t>METEOROLOGICAL AIDS, METEOROLOGICAL-SATELLITE, FIXED, MOBILE</w:t>
            </w:r>
          </w:p>
          <w:p w:rsidR="00B77E16" w:rsidRPr="00F92373" w:rsidRDefault="00B77E16" w:rsidP="00B35344">
            <w:pPr>
              <w:spacing w:after="0" w:line="240" w:lineRule="auto"/>
              <w:jc w:val="both"/>
              <w:rPr>
                <w:sz w:val="24"/>
                <w:szCs w:val="24"/>
              </w:rPr>
            </w:pPr>
            <w:r w:rsidRPr="00F92373">
              <w:rPr>
                <w:sz w:val="24"/>
                <w:szCs w:val="24"/>
              </w:rPr>
              <w:t>2 010-2 025 MHz</w:t>
            </w:r>
            <w:r w:rsidR="004729AE" w:rsidRPr="00F92373">
              <w:rPr>
                <w:sz w:val="24"/>
                <w:szCs w:val="24"/>
              </w:rPr>
              <w:t xml:space="preserve"> FIXED, MOBILE</w:t>
            </w:r>
          </w:p>
          <w:p w:rsidR="00C93F69" w:rsidRPr="00695DE4" w:rsidRDefault="00B77E16" w:rsidP="00B35344">
            <w:pPr>
              <w:spacing w:after="0" w:line="240" w:lineRule="auto"/>
              <w:jc w:val="both"/>
              <w:rPr>
                <w:sz w:val="20"/>
              </w:rPr>
            </w:pPr>
            <w:r w:rsidRPr="00F92373">
              <w:rPr>
                <w:sz w:val="24"/>
                <w:szCs w:val="24"/>
              </w:rPr>
              <w:t>3 300</w:t>
            </w:r>
            <w:r w:rsidRPr="00F92373">
              <w:rPr>
                <w:sz w:val="24"/>
                <w:szCs w:val="24"/>
              </w:rPr>
              <w:noBreakHyphen/>
            </w:r>
            <w:r w:rsidR="00695DE4" w:rsidRPr="00F92373">
              <w:rPr>
                <w:sz w:val="24"/>
                <w:szCs w:val="24"/>
              </w:rPr>
              <w:t>3 400 </w:t>
            </w:r>
            <w:r w:rsidRPr="00F92373">
              <w:rPr>
                <w:sz w:val="24"/>
                <w:szCs w:val="24"/>
              </w:rPr>
              <w:t>MHz</w:t>
            </w:r>
            <w:r w:rsidR="00695DE4" w:rsidRPr="00F92373">
              <w:rPr>
                <w:sz w:val="24"/>
                <w:szCs w:val="24"/>
              </w:rPr>
              <w:t xml:space="preserve"> </w:t>
            </w:r>
            <w:r w:rsidR="00695DE4" w:rsidRPr="00F92373">
              <w:rPr>
                <w:rFonts w:eastAsia="Times New Roman" w:cs="Calibri"/>
                <w:color w:val="000000"/>
                <w:sz w:val="24"/>
                <w:szCs w:val="24"/>
              </w:rPr>
              <w:t>RADIOLOCATION</w:t>
            </w:r>
          </w:p>
        </w:tc>
      </w:tr>
      <w:tr w:rsidR="00DF629A" w:rsidRPr="00AC42E3" w:rsidTr="00B35344">
        <w:trPr>
          <w:trHeight w:val="60"/>
        </w:trPr>
        <w:tc>
          <w:tcPr>
            <w:tcW w:w="9350" w:type="dxa"/>
          </w:tcPr>
          <w:p w:rsidR="00DF629A" w:rsidRPr="00AC42E3" w:rsidRDefault="00DF629A" w:rsidP="00B35344">
            <w:pPr>
              <w:spacing w:after="0" w:line="240" w:lineRule="auto"/>
              <w:rPr>
                <w:rFonts w:asciiTheme="minorHAnsi" w:hAnsiTheme="minorHAnsi" w:cstheme="minorHAnsi"/>
                <w:i/>
                <w:sz w:val="24"/>
                <w:szCs w:val="24"/>
                <w:lang w:val="en-GB"/>
              </w:rPr>
            </w:pPr>
            <w:r w:rsidRPr="00AC42E3">
              <w:rPr>
                <w:rFonts w:asciiTheme="minorHAnsi" w:hAnsiTheme="minorHAnsi" w:cstheme="minorHAnsi"/>
                <w:b/>
                <w:i/>
                <w:color w:val="4F81BD"/>
                <w:spacing w:val="60"/>
                <w:sz w:val="24"/>
                <w:szCs w:val="24"/>
                <w:lang w:val="en-GB"/>
              </w:rPr>
              <w:t>Part D: Proposed EACO Preliminary View and way forward</w:t>
            </w:r>
          </w:p>
        </w:tc>
      </w:tr>
      <w:tr w:rsidR="00DF629A" w:rsidRPr="00AC42E3" w:rsidTr="00B35344">
        <w:trPr>
          <w:trHeight w:val="998"/>
        </w:trPr>
        <w:tc>
          <w:tcPr>
            <w:tcW w:w="9350" w:type="dxa"/>
          </w:tcPr>
          <w:p w:rsidR="00DF629A" w:rsidRPr="00F92373" w:rsidRDefault="007B00ED" w:rsidP="00B35344">
            <w:pPr>
              <w:spacing w:after="0" w:line="240" w:lineRule="auto"/>
              <w:jc w:val="both"/>
              <w:rPr>
                <w:rFonts w:eastAsia="Times New Roman" w:cstheme="minorHAnsi"/>
                <w:color w:val="000000"/>
                <w:sz w:val="24"/>
                <w:szCs w:val="24"/>
              </w:rPr>
            </w:pPr>
            <w:r w:rsidRPr="00F92373">
              <w:rPr>
                <w:rFonts w:asciiTheme="minorHAnsi" w:hAnsiTheme="minorHAnsi" w:cstheme="minorHAnsi"/>
                <w:sz w:val="24"/>
                <w:szCs w:val="24"/>
                <w:lang w:val="en-GB"/>
              </w:rPr>
              <w:t>It is important to note that the band under consideration for region 1 (</w:t>
            </w:r>
            <w:r w:rsidRPr="00F92373">
              <w:rPr>
                <w:sz w:val="24"/>
                <w:szCs w:val="24"/>
              </w:rPr>
              <w:t>2 010-2 025 MHz</w:t>
            </w:r>
            <w:r w:rsidRPr="00F92373">
              <w:rPr>
                <w:rFonts w:asciiTheme="minorHAnsi" w:hAnsiTheme="minorHAnsi" w:cstheme="minorHAnsi"/>
                <w:sz w:val="24"/>
                <w:szCs w:val="24"/>
                <w:lang w:val="en-GB"/>
              </w:rPr>
              <w:t xml:space="preserve">) was </w:t>
            </w:r>
            <w:r w:rsidRPr="00F92373">
              <w:rPr>
                <w:rFonts w:eastAsia="Times New Roman" w:cs="Calibri"/>
                <w:color w:val="000000"/>
                <w:sz w:val="24"/>
                <w:szCs w:val="24"/>
              </w:rPr>
              <w:t xml:space="preserve">Identified for </w:t>
            </w:r>
            <w:r w:rsidR="00F92373" w:rsidRPr="00F92373">
              <w:rPr>
                <w:rFonts w:eastAsia="Times New Roman" w:cs="Calibri"/>
                <w:color w:val="000000"/>
                <w:sz w:val="24"/>
                <w:szCs w:val="24"/>
              </w:rPr>
              <w:t>IMT at</w:t>
            </w:r>
            <w:r w:rsidRPr="00F92373">
              <w:rPr>
                <w:rFonts w:eastAsia="Times New Roman" w:cs="Calibri"/>
                <w:color w:val="000000"/>
                <w:sz w:val="24"/>
                <w:szCs w:val="24"/>
              </w:rPr>
              <w:t xml:space="preserve"> WRC-15 in accordance with </w:t>
            </w:r>
            <w:r w:rsidRPr="00F92373">
              <w:rPr>
                <w:rFonts w:cstheme="minorHAnsi"/>
                <w:sz w:val="24"/>
                <w:szCs w:val="24"/>
              </w:rPr>
              <w:t xml:space="preserve">Resolution </w:t>
            </w:r>
            <w:r w:rsidRPr="00F92373">
              <w:rPr>
                <w:rFonts w:cstheme="minorHAnsi"/>
                <w:bCs/>
                <w:sz w:val="24"/>
                <w:szCs w:val="24"/>
              </w:rPr>
              <w:t>212 (Rev.WRC-15)</w:t>
            </w:r>
            <w:r w:rsidR="00F92373" w:rsidRPr="00F92373">
              <w:rPr>
                <w:rFonts w:eastAsia="Times New Roman" w:cstheme="minorHAnsi"/>
                <w:color w:val="000000"/>
                <w:sz w:val="24"/>
                <w:szCs w:val="24"/>
              </w:rPr>
              <w:t xml:space="preserve">. Also key to note is the importance of and already strong interest among EACO administrations to venture into small satellite technologies. </w:t>
            </w:r>
          </w:p>
          <w:p w:rsidR="00F92373" w:rsidRPr="00AC42E3" w:rsidRDefault="0051740D" w:rsidP="0051740D">
            <w:pPr>
              <w:spacing w:after="0" w:line="240" w:lineRule="auto"/>
              <w:jc w:val="both"/>
              <w:rPr>
                <w:rFonts w:asciiTheme="minorHAnsi" w:hAnsiTheme="minorHAnsi" w:cstheme="minorHAnsi"/>
                <w:sz w:val="24"/>
                <w:szCs w:val="24"/>
                <w:lang w:val="en-GB"/>
              </w:rPr>
            </w:pPr>
            <w:r>
              <w:rPr>
                <w:rFonts w:eastAsia="Times New Roman" w:cstheme="minorHAnsi"/>
                <w:color w:val="000000"/>
                <w:sz w:val="24"/>
                <w:szCs w:val="24"/>
              </w:rPr>
              <w:t>As such, it will be key for EACO to</w:t>
            </w:r>
            <w:r w:rsidR="00F92373" w:rsidRPr="00F92373">
              <w:rPr>
                <w:rFonts w:eastAsia="Times New Roman" w:cstheme="minorHAnsi"/>
                <w:color w:val="000000"/>
                <w:sz w:val="24"/>
                <w:szCs w:val="24"/>
              </w:rPr>
              <w:t xml:space="preserve"> take part and </w:t>
            </w:r>
            <w:r>
              <w:rPr>
                <w:rFonts w:eastAsia="Times New Roman" w:cstheme="minorHAnsi"/>
                <w:color w:val="000000"/>
                <w:sz w:val="24"/>
                <w:szCs w:val="24"/>
              </w:rPr>
              <w:t>closely follow</w:t>
            </w:r>
            <w:r w:rsidR="00F92373" w:rsidRPr="00F92373">
              <w:rPr>
                <w:rFonts w:eastAsia="Times New Roman" w:cstheme="minorHAnsi"/>
                <w:color w:val="000000"/>
                <w:sz w:val="24"/>
                <w:szCs w:val="24"/>
              </w:rPr>
              <w:t xml:space="preserve"> the studies on this agenda item to ensure consistent results are attained which will yield favorable results for the region.</w:t>
            </w:r>
          </w:p>
        </w:tc>
      </w:tr>
    </w:tbl>
    <w:p w:rsidR="00E95506" w:rsidRDefault="00E95506">
      <w:pPr>
        <w:rPr>
          <w:rFonts w:asciiTheme="minorHAnsi" w:hAnsiTheme="minorHAnsi" w:cstheme="minorHAnsi"/>
          <w:sz w:val="24"/>
          <w:szCs w:val="24"/>
        </w:rPr>
      </w:pPr>
    </w:p>
    <w:p w:rsidR="00F439D5" w:rsidRPr="00AC42E3" w:rsidRDefault="00F439D5">
      <w:pPr>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F629A" w:rsidRPr="00AC42E3" w:rsidTr="00B35344">
        <w:tc>
          <w:tcPr>
            <w:tcW w:w="9350" w:type="dxa"/>
          </w:tcPr>
          <w:p w:rsidR="00DF629A" w:rsidRPr="00695DE4" w:rsidRDefault="00DF629A" w:rsidP="00695DE4">
            <w:pPr>
              <w:pStyle w:val="Tabletext"/>
              <w:jc w:val="center"/>
              <w:rPr>
                <w:rFonts w:asciiTheme="minorHAnsi" w:hAnsiTheme="minorHAnsi" w:cstheme="minorHAnsi"/>
                <w:b/>
                <w:sz w:val="24"/>
                <w:szCs w:val="24"/>
              </w:rPr>
            </w:pPr>
            <w:r w:rsidRPr="00695DE4">
              <w:rPr>
                <w:rFonts w:asciiTheme="minorHAnsi" w:hAnsiTheme="minorHAnsi" w:cstheme="minorHAnsi"/>
                <w:b/>
                <w:sz w:val="24"/>
                <w:szCs w:val="24"/>
              </w:rPr>
              <w:lastRenderedPageBreak/>
              <w:t>AI 1.19</w:t>
            </w:r>
            <w:r w:rsidR="00695DE4" w:rsidRPr="00695DE4">
              <w:rPr>
                <w:rFonts w:asciiTheme="minorHAnsi" w:hAnsiTheme="minorHAnsi" w:cstheme="minorHAnsi"/>
                <w:b/>
                <w:sz w:val="24"/>
                <w:szCs w:val="24"/>
              </w:rPr>
              <w:t xml:space="preserve"> (New Primary Allocatio</w:t>
            </w:r>
            <w:r w:rsidR="00EA0046">
              <w:rPr>
                <w:rFonts w:asciiTheme="minorHAnsi" w:hAnsiTheme="minorHAnsi" w:cstheme="minorHAnsi"/>
                <w:b/>
                <w:sz w:val="24"/>
                <w:szCs w:val="24"/>
              </w:rPr>
              <w:t>n to FSS</w:t>
            </w:r>
            <w:r w:rsidR="00695DE4" w:rsidRPr="00695DE4">
              <w:rPr>
                <w:rFonts w:asciiTheme="minorHAnsi" w:hAnsiTheme="minorHAnsi" w:cstheme="minorHAnsi"/>
                <w:b/>
                <w:sz w:val="24"/>
                <w:szCs w:val="24"/>
              </w:rPr>
              <w:t xml:space="preserve"> in Region 2)</w:t>
            </w:r>
          </w:p>
        </w:tc>
      </w:tr>
      <w:tr w:rsidR="00DF629A" w:rsidRPr="00AC42E3" w:rsidTr="00B35344">
        <w:tc>
          <w:tcPr>
            <w:tcW w:w="9350" w:type="dxa"/>
          </w:tcPr>
          <w:p w:rsidR="00DF629A" w:rsidRPr="00AC42E3" w:rsidRDefault="00DF629A" w:rsidP="00B35344">
            <w:pPr>
              <w:spacing w:after="0" w:line="240" w:lineRule="auto"/>
              <w:rPr>
                <w:rFonts w:asciiTheme="minorHAnsi" w:hAnsiTheme="minorHAnsi" w:cstheme="minorHAnsi"/>
                <w:b/>
                <w:i/>
                <w:color w:val="4F81BD"/>
                <w:spacing w:val="60"/>
                <w:sz w:val="24"/>
                <w:szCs w:val="24"/>
                <w:lang w:val="en-GB"/>
              </w:rPr>
            </w:pPr>
            <w:r w:rsidRPr="00AC42E3">
              <w:rPr>
                <w:rFonts w:asciiTheme="minorHAnsi" w:hAnsiTheme="minorHAnsi" w:cstheme="minorHAnsi"/>
                <w:b/>
                <w:i/>
                <w:color w:val="4F81BD"/>
                <w:spacing w:val="60"/>
                <w:sz w:val="24"/>
                <w:szCs w:val="24"/>
                <w:lang w:val="en-GB"/>
              </w:rPr>
              <w:t>Part A: Description</w:t>
            </w:r>
          </w:p>
        </w:tc>
      </w:tr>
      <w:tr w:rsidR="00DF629A" w:rsidRPr="00AC42E3" w:rsidTr="00B35344">
        <w:trPr>
          <w:trHeight w:val="647"/>
        </w:trPr>
        <w:tc>
          <w:tcPr>
            <w:tcW w:w="9350" w:type="dxa"/>
          </w:tcPr>
          <w:p w:rsidR="00DF629A" w:rsidRPr="00F439D5" w:rsidRDefault="00DF629A" w:rsidP="00B35344">
            <w:pPr>
              <w:spacing w:after="0" w:line="240" w:lineRule="auto"/>
              <w:jc w:val="both"/>
              <w:rPr>
                <w:rFonts w:asciiTheme="minorHAnsi" w:hAnsiTheme="minorHAnsi" w:cstheme="minorHAnsi"/>
                <w:i/>
                <w:sz w:val="24"/>
                <w:szCs w:val="24"/>
                <w:lang w:val="en-GB"/>
              </w:rPr>
            </w:pPr>
            <w:r w:rsidRPr="00F439D5">
              <w:rPr>
                <w:rFonts w:asciiTheme="minorHAnsi" w:hAnsiTheme="minorHAnsi" w:cstheme="minorHAnsi"/>
                <w:i/>
                <w:sz w:val="24"/>
                <w:szCs w:val="24"/>
              </w:rPr>
              <w:t xml:space="preserve">to consider a new primary allocation to the fixed-satellite service in the space-to-Earth direction in the frequency band 17.3-17.7 GHz in Region 2, while protecting existing primary services in the band, in accordance with Resolution </w:t>
            </w:r>
            <w:r w:rsidRPr="00F439D5">
              <w:rPr>
                <w:rFonts w:asciiTheme="minorHAnsi" w:hAnsiTheme="minorHAnsi" w:cstheme="minorHAnsi"/>
                <w:b/>
                <w:bCs/>
                <w:i/>
                <w:sz w:val="24"/>
                <w:szCs w:val="24"/>
              </w:rPr>
              <w:t>174</w:t>
            </w:r>
            <w:r w:rsidRPr="00F439D5">
              <w:rPr>
                <w:rFonts w:asciiTheme="minorHAnsi" w:hAnsiTheme="minorHAnsi" w:cstheme="minorHAnsi"/>
                <w:i/>
                <w:sz w:val="24"/>
                <w:szCs w:val="24"/>
              </w:rPr>
              <w:t xml:space="preserve"> </w:t>
            </w:r>
            <w:r w:rsidRPr="00F439D5">
              <w:rPr>
                <w:rFonts w:asciiTheme="minorHAnsi" w:hAnsiTheme="minorHAnsi" w:cstheme="minorHAnsi"/>
                <w:b/>
                <w:i/>
                <w:sz w:val="24"/>
                <w:szCs w:val="24"/>
              </w:rPr>
              <w:t>(WRC</w:t>
            </w:r>
            <w:r w:rsidRPr="00F439D5">
              <w:rPr>
                <w:rFonts w:asciiTheme="minorHAnsi" w:hAnsiTheme="minorHAnsi" w:cstheme="minorHAnsi"/>
                <w:b/>
                <w:i/>
                <w:sz w:val="24"/>
                <w:szCs w:val="24"/>
              </w:rPr>
              <w:noBreakHyphen/>
              <w:t>19)</w:t>
            </w:r>
            <w:r w:rsidRPr="00F439D5">
              <w:rPr>
                <w:rFonts w:asciiTheme="minorHAnsi" w:hAnsiTheme="minorHAnsi" w:cstheme="minorHAnsi"/>
                <w:bCs/>
                <w:i/>
                <w:sz w:val="24"/>
                <w:szCs w:val="24"/>
              </w:rPr>
              <w:t>;</w:t>
            </w:r>
          </w:p>
        </w:tc>
      </w:tr>
      <w:tr w:rsidR="00DF629A" w:rsidRPr="00AC42E3" w:rsidTr="00B35344">
        <w:tc>
          <w:tcPr>
            <w:tcW w:w="9350" w:type="dxa"/>
          </w:tcPr>
          <w:p w:rsidR="00DF629A" w:rsidRPr="00AC42E3" w:rsidRDefault="00DF629A" w:rsidP="00B35344">
            <w:pPr>
              <w:spacing w:after="0" w:line="240" w:lineRule="auto"/>
              <w:rPr>
                <w:rFonts w:asciiTheme="minorHAnsi" w:hAnsiTheme="minorHAnsi" w:cstheme="minorHAnsi"/>
                <w:sz w:val="24"/>
                <w:szCs w:val="24"/>
                <w:lang w:val="en-GB"/>
              </w:rPr>
            </w:pPr>
            <w:r w:rsidRPr="00AC42E3">
              <w:rPr>
                <w:rFonts w:asciiTheme="minorHAnsi" w:hAnsiTheme="minorHAnsi" w:cstheme="minorHAnsi"/>
                <w:b/>
                <w:i/>
                <w:color w:val="4F81BD"/>
                <w:spacing w:val="60"/>
                <w:sz w:val="24"/>
                <w:szCs w:val="24"/>
                <w:lang w:val="en-GB"/>
              </w:rPr>
              <w:t>Part B: Key Elements – the notables</w:t>
            </w:r>
          </w:p>
        </w:tc>
      </w:tr>
      <w:tr w:rsidR="00DF629A" w:rsidRPr="00AC42E3" w:rsidTr="00B35344">
        <w:trPr>
          <w:trHeight w:val="638"/>
        </w:trPr>
        <w:tc>
          <w:tcPr>
            <w:tcW w:w="9350" w:type="dxa"/>
          </w:tcPr>
          <w:p w:rsidR="00F67D51" w:rsidRPr="007B00ED" w:rsidRDefault="00F67D51" w:rsidP="00F67D51">
            <w:pPr>
              <w:spacing w:before="40" w:after="40"/>
              <w:rPr>
                <w:b/>
                <w:sz w:val="24"/>
                <w:szCs w:val="24"/>
              </w:rPr>
            </w:pPr>
            <w:r w:rsidRPr="007B00ED">
              <w:rPr>
                <w:sz w:val="24"/>
                <w:szCs w:val="24"/>
              </w:rPr>
              <w:t>Resolution</w:t>
            </w:r>
            <w:r w:rsidRPr="007B00ED">
              <w:rPr>
                <w:b/>
                <w:sz w:val="24"/>
                <w:szCs w:val="24"/>
              </w:rPr>
              <w:t> 174 (WRC</w:t>
            </w:r>
            <w:r w:rsidRPr="007B00ED">
              <w:rPr>
                <w:b/>
                <w:sz w:val="24"/>
                <w:szCs w:val="24"/>
              </w:rPr>
              <w:noBreakHyphen/>
              <w:t>19)</w:t>
            </w:r>
          </w:p>
          <w:p w:rsidR="00DF629A" w:rsidRDefault="00F67D51" w:rsidP="00F67D51">
            <w:pPr>
              <w:autoSpaceDE w:val="0"/>
              <w:autoSpaceDN w:val="0"/>
              <w:adjustRightInd w:val="0"/>
              <w:spacing w:after="0" w:line="240" w:lineRule="auto"/>
              <w:jc w:val="both"/>
              <w:rPr>
                <w:sz w:val="24"/>
                <w:szCs w:val="24"/>
              </w:rPr>
            </w:pPr>
            <w:r w:rsidRPr="007B00ED">
              <w:rPr>
                <w:sz w:val="24"/>
                <w:szCs w:val="24"/>
              </w:rPr>
              <w:t>Primary allocation to the fixed-satellite service in the space-to-Earth direction in the frequency 17.3-17.7 GHz in Region 2</w:t>
            </w:r>
          </w:p>
          <w:p w:rsidR="001C4835" w:rsidRDefault="001C4835" w:rsidP="00F67D51">
            <w:pPr>
              <w:autoSpaceDE w:val="0"/>
              <w:autoSpaceDN w:val="0"/>
              <w:adjustRightInd w:val="0"/>
              <w:spacing w:after="0" w:line="240" w:lineRule="auto"/>
              <w:jc w:val="both"/>
              <w:rPr>
                <w:sz w:val="24"/>
                <w:szCs w:val="24"/>
              </w:rPr>
            </w:pPr>
          </w:p>
          <w:p w:rsidR="0071421C" w:rsidRPr="00D05DC3" w:rsidRDefault="001C4835" w:rsidP="00D05DC3">
            <w:pPr>
              <w:jc w:val="both"/>
            </w:pPr>
            <w:r>
              <w:rPr>
                <w:sz w:val="24"/>
                <w:szCs w:val="24"/>
              </w:rPr>
              <w:t xml:space="preserve">In Region 1, </w:t>
            </w:r>
            <w:r w:rsidR="00F92373">
              <w:rPr>
                <w:sz w:val="24"/>
                <w:szCs w:val="24"/>
              </w:rPr>
              <w:t xml:space="preserve">the </w:t>
            </w:r>
            <w:r w:rsidR="00372F2E">
              <w:rPr>
                <w:sz w:val="24"/>
                <w:szCs w:val="24"/>
              </w:rPr>
              <w:t>band in consideration is allocated to F</w:t>
            </w:r>
            <w:r w:rsidR="00244763">
              <w:rPr>
                <w:sz w:val="24"/>
                <w:szCs w:val="24"/>
              </w:rPr>
              <w:t>SS which is the only primary service all</w:t>
            </w:r>
            <w:r w:rsidR="00372F2E">
              <w:rPr>
                <w:sz w:val="24"/>
                <w:szCs w:val="24"/>
              </w:rPr>
              <w:t xml:space="preserve">ocation in that band while in Region 2 the </w:t>
            </w:r>
            <w:r w:rsidR="00372F2E" w:rsidRPr="00B20CFE">
              <w:t xml:space="preserve">band </w:t>
            </w:r>
            <w:r w:rsidR="00372F2E">
              <w:t xml:space="preserve">is allocated for </w:t>
            </w:r>
            <w:r w:rsidR="00372F2E" w:rsidRPr="00B20CFE">
              <w:t xml:space="preserve">BSS </w:t>
            </w:r>
            <w:r w:rsidR="00372F2E">
              <w:t>(</w:t>
            </w:r>
            <w:r w:rsidR="00372F2E" w:rsidRPr="00B20CFE">
              <w:t>space-to-Earth</w:t>
            </w:r>
            <w:r w:rsidR="00372F2E">
              <w:t>)</w:t>
            </w:r>
            <w:r w:rsidR="00244763">
              <w:rPr>
                <w:sz w:val="24"/>
                <w:szCs w:val="24"/>
              </w:rPr>
              <w:t>.</w:t>
            </w:r>
            <w:r w:rsidR="00372F2E">
              <w:rPr>
                <w:sz w:val="24"/>
                <w:szCs w:val="24"/>
              </w:rPr>
              <w:t xml:space="preserve"> </w:t>
            </w:r>
            <w:r w:rsidR="00372F2E" w:rsidRPr="00B20CFE">
              <w:t xml:space="preserve">The possibility </w:t>
            </w:r>
            <w:r w:rsidR="00372F2E">
              <w:t>of an</w:t>
            </w:r>
            <w:r w:rsidR="00372F2E" w:rsidRPr="00B20CFE">
              <w:t xml:space="preserve"> FSS (space-to-Earth) </w:t>
            </w:r>
            <w:r>
              <w:t>allocation in Region 2</w:t>
            </w:r>
            <w:r w:rsidR="00372F2E">
              <w:t xml:space="preserve"> is intended to</w:t>
            </w:r>
            <w:r w:rsidR="00372F2E" w:rsidRPr="00B20CFE">
              <w:t xml:space="preserve"> provide satellite operators, the flexibility to satisfy BSS or FSS service demand in the same frequency band indistinctly and in many cases without the necessity to use exclusive payloads depending on the service. It is important to note that nowadays, many satellite operators already provide both kind</w:t>
            </w:r>
            <w:r w:rsidR="00372F2E">
              <w:t>s</w:t>
            </w:r>
            <w:r w:rsidR="006D7723">
              <w:t xml:space="preserve"> of services as satellite manufacturers are developing many flexible payload designs which allows for operators to target markets in this very dynamic spectrum environment. </w:t>
            </w:r>
          </w:p>
        </w:tc>
      </w:tr>
      <w:tr w:rsidR="00DF629A" w:rsidRPr="00AC42E3" w:rsidTr="00B35344">
        <w:tc>
          <w:tcPr>
            <w:tcW w:w="9350" w:type="dxa"/>
          </w:tcPr>
          <w:p w:rsidR="00DF629A" w:rsidRPr="00AC42E3" w:rsidRDefault="00DF629A" w:rsidP="00B35344">
            <w:pPr>
              <w:spacing w:after="0" w:line="240" w:lineRule="auto"/>
              <w:rPr>
                <w:rFonts w:asciiTheme="minorHAnsi" w:hAnsiTheme="minorHAnsi" w:cstheme="minorHAnsi"/>
                <w:sz w:val="24"/>
                <w:szCs w:val="24"/>
                <w:lang w:val="en-GB"/>
              </w:rPr>
            </w:pPr>
            <w:r w:rsidRPr="00AC42E3">
              <w:rPr>
                <w:rFonts w:asciiTheme="minorHAnsi" w:hAnsiTheme="minorHAnsi" w:cstheme="minorHAnsi"/>
                <w:b/>
                <w:i/>
                <w:color w:val="4F81BD"/>
                <w:spacing w:val="60"/>
                <w:sz w:val="24"/>
                <w:szCs w:val="24"/>
                <w:lang w:val="en-GB"/>
              </w:rPr>
              <w:t xml:space="preserve">Part C: </w:t>
            </w:r>
            <w:r w:rsidR="00C93F69">
              <w:rPr>
                <w:rFonts w:asciiTheme="minorHAnsi" w:hAnsiTheme="minorHAnsi" w:cstheme="minorHAnsi"/>
                <w:b/>
                <w:i/>
                <w:color w:val="4F81BD"/>
                <w:spacing w:val="60"/>
                <w:sz w:val="24"/>
                <w:szCs w:val="24"/>
                <w:lang w:val="en-GB"/>
              </w:rPr>
              <w:t>Status of the</w:t>
            </w:r>
            <w:r w:rsidRPr="00AC42E3">
              <w:rPr>
                <w:rFonts w:asciiTheme="minorHAnsi" w:hAnsiTheme="minorHAnsi" w:cstheme="minorHAnsi"/>
                <w:b/>
                <w:i/>
                <w:color w:val="4F81BD"/>
                <w:spacing w:val="60"/>
                <w:sz w:val="24"/>
                <w:szCs w:val="24"/>
                <w:lang w:val="en-GB"/>
              </w:rPr>
              <w:t xml:space="preserve"> Bands under consideration</w:t>
            </w:r>
          </w:p>
        </w:tc>
      </w:tr>
      <w:tr w:rsidR="00DF629A" w:rsidRPr="00AC42E3" w:rsidTr="00E65E37">
        <w:trPr>
          <w:trHeight w:val="719"/>
        </w:trPr>
        <w:tc>
          <w:tcPr>
            <w:tcW w:w="9350" w:type="dxa"/>
          </w:tcPr>
          <w:p w:rsidR="00DF629A" w:rsidRPr="00AC42E3" w:rsidRDefault="006D7723" w:rsidP="00B35344">
            <w:pPr>
              <w:spacing w:after="0" w:line="240" w:lineRule="auto"/>
              <w:jc w:val="both"/>
              <w:rPr>
                <w:rFonts w:asciiTheme="minorHAnsi" w:hAnsiTheme="minorHAnsi" w:cstheme="minorHAnsi"/>
                <w:sz w:val="24"/>
                <w:szCs w:val="24"/>
                <w:lang w:val="en-GB"/>
              </w:rPr>
            </w:pPr>
            <w:r w:rsidRPr="00B20CFE">
              <w:rPr>
                <w:noProof/>
              </w:rPr>
              <w:drawing>
                <wp:inline distT="0" distB="0" distL="0" distR="0" wp14:anchorId="0A2368ED" wp14:editId="0B7CF5B0">
                  <wp:extent cx="5676679" cy="1670789"/>
                  <wp:effectExtent l="0" t="0" r="635"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692101" cy="1675328"/>
                          </a:xfrm>
                          <a:prstGeom prst="rect">
                            <a:avLst/>
                          </a:prstGeom>
                        </pic:spPr>
                      </pic:pic>
                    </a:graphicData>
                  </a:graphic>
                </wp:inline>
              </w:drawing>
            </w:r>
          </w:p>
        </w:tc>
      </w:tr>
      <w:tr w:rsidR="00DF629A" w:rsidRPr="00AC42E3" w:rsidTr="00B35344">
        <w:trPr>
          <w:trHeight w:val="60"/>
        </w:trPr>
        <w:tc>
          <w:tcPr>
            <w:tcW w:w="9350" w:type="dxa"/>
          </w:tcPr>
          <w:p w:rsidR="00DF629A" w:rsidRPr="00AC42E3" w:rsidRDefault="00DF629A" w:rsidP="00B35344">
            <w:pPr>
              <w:spacing w:after="0" w:line="240" w:lineRule="auto"/>
              <w:rPr>
                <w:rFonts w:asciiTheme="minorHAnsi" w:hAnsiTheme="minorHAnsi" w:cstheme="minorHAnsi"/>
                <w:i/>
                <w:sz w:val="24"/>
                <w:szCs w:val="24"/>
                <w:lang w:val="en-GB"/>
              </w:rPr>
            </w:pPr>
            <w:r w:rsidRPr="00AC42E3">
              <w:rPr>
                <w:rFonts w:asciiTheme="minorHAnsi" w:hAnsiTheme="minorHAnsi" w:cstheme="minorHAnsi"/>
                <w:b/>
                <w:i/>
                <w:color w:val="4F81BD"/>
                <w:spacing w:val="60"/>
                <w:sz w:val="24"/>
                <w:szCs w:val="24"/>
                <w:lang w:val="en-GB"/>
              </w:rPr>
              <w:t>Part D: Proposed EACO Preliminary View and way forward</w:t>
            </w:r>
          </w:p>
        </w:tc>
      </w:tr>
      <w:tr w:rsidR="00DF629A" w:rsidRPr="00AC42E3" w:rsidTr="00B35344">
        <w:trPr>
          <w:trHeight w:val="998"/>
        </w:trPr>
        <w:tc>
          <w:tcPr>
            <w:tcW w:w="9350" w:type="dxa"/>
          </w:tcPr>
          <w:p w:rsidR="00DF629A" w:rsidRPr="00AC42E3" w:rsidRDefault="00793682" w:rsidP="00B35344">
            <w:pPr>
              <w:spacing w:after="0" w:line="240" w:lineRule="auto"/>
              <w:jc w:val="both"/>
              <w:rPr>
                <w:rFonts w:asciiTheme="minorHAnsi" w:hAnsiTheme="minorHAnsi" w:cstheme="minorHAnsi"/>
                <w:sz w:val="24"/>
                <w:szCs w:val="24"/>
                <w:lang w:val="en-GB"/>
              </w:rPr>
            </w:pPr>
            <w:r>
              <w:rPr>
                <w:rFonts w:asciiTheme="minorHAnsi" w:hAnsiTheme="minorHAnsi" w:cstheme="minorHAnsi"/>
                <w:sz w:val="24"/>
                <w:szCs w:val="24"/>
                <w:lang w:val="en-GB"/>
              </w:rPr>
              <w:t>EACO administration already have the FSS allocation in the band. It is however important to follow the studies to determine how a related allocation in Region 2 could impact existing similar allocations in Region 1.</w:t>
            </w:r>
          </w:p>
        </w:tc>
      </w:tr>
    </w:tbl>
    <w:p w:rsidR="00DF629A" w:rsidRPr="00AC42E3" w:rsidRDefault="00DF629A">
      <w:pPr>
        <w:rPr>
          <w:rFonts w:asciiTheme="minorHAnsi" w:hAnsiTheme="minorHAnsi" w:cstheme="minorHAnsi"/>
          <w:sz w:val="24"/>
          <w:szCs w:val="24"/>
        </w:rPr>
      </w:pPr>
      <w:bookmarkStart w:id="5" w:name="_GoBack"/>
      <w:bookmarkEnd w:id="5"/>
    </w:p>
    <w:sectPr w:rsidR="00DF629A" w:rsidRPr="00AC42E3" w:rsidSect="00AE7AE9">
      <w:pgSz w:w="12240" w:h="15840"/>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Traditional Arabic">
    <w:altName w:val="Times New Roman"/>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1569E"/>
    <w:multiLevelType w:val="hybridMultilevel"/>
    <w:tmpl w:val="759200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D465E4"/>
    <w:multiLevelType w:val="multilevel"/>
    <w:tmpl w:val="78328C34"/>
    <w:lvl w:ilvl="0">
      <w:numFmt w:val="bullet"/>
      <w:lvlText w:val="−"/>
      <w:lvlJc w:val="left"/>
      <w:pPr>
        <w:tabs>
          <w:tab w:val="num" w:pos="720"/>
        </w:tabs>
        <w:ind w:left="720" w:hanging="360"/>
      </w:pPr>
      <w:rPr>
        <w:rFonts w:ascii="Times New Roman" w:eastAsia="Times New Roman" w:hAnsi="Times New Roman" w:cs="Times New Roman"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0A366813"/>
    <w:multiLevelType w:val="hybridMultilevel"/>
    <w:tmpl w:val="F1E8FA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161167"/>
    <w:multiLevelType w:val="hybridMultilevel"/>
    <w:tmpl w:val="9B12962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6F27A92"/>
    <w:multiLevelType w:val="hybridMultilevel"/>
    <w:tmpl w:val="10561D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8E2E18"/>
    <w:multiLevelType w:val="hybridMultilevel"/>
    <w:tmpl w:val="A8F40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A53A2E"/>
    <w:multiLevelType w:val="hybridMultilevel"/>
    <w:tmpl w:val="CEC84DC4"/>
    <w:lvl w:ilvl="0" w:tplc="CAF84516">
      <w:start w:val="3"/>
      <w:numFmt w:val="bullet"/>
      <w:lvlText w:val="-"/>
      <w:lvlJc w:val="left"/>
      <w:pPr>
        <w:ind w:left="1080" w:hanging="360"/>
      </w:pPr>
      <w:rPr>
        <w:rFonts w:ascii="Calibri" w:eastAsia="Arial Unicode MS"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A4F32A2"/>
    <w:multiLevelType w:val="hybridMultilevel"/>
    <w:tmpl w:val="75EC56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C669F3"/>
    <w:multiLevelType w:val="hybridMultilevel"/>
    <w:tmpl w:val="CEA06462"/>
    <w:lvl w:ilvl="0" w:tplc="FA8EE658">
      <w:start w:val="47"/>
      <w:numFmt w:val="bullet"/>
      <w:lvlText w:val="–"/>
      <w:lvlJc w:val="left"/>
      <w:pPr>
        <w:ind w:left="360" w:hanging="360"/>
      </w:pPr>
      <w:rPr>
        <w:rFonts w:ascii="Times New Roman" w:eastAsia="SimSun" w:hAnsi="Times New Roman" w:cs="Times New Roman"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9">
    <w:nsid w:val="3D1D4714"/>
    <w:multiLevelType w:val="hybridMultilevel"/>
    <w:tmpl w:val="30405D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B15837"/>
    <w:multiLevelType w:val="hybridMultilevel"/>
    <w:tmpl w:val="13C01F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F731FF"/>
    <w:multiLevelType w:val="multilevel"/>
    <w:tmpl w:val="8C80925E"/>
    <w:lvl w:ilvl="0">
      <w:start w:val="3"/>
      <w:numFmt w:val="bullet"/>
      <w:lvlText w:val="-"/>
      <w:lvlJc w:val="left"/>
      <w:pPr>
        <w:tabs>
          <w:tab w:val="num" w:pos="720"/>
        </w:tabs>
        <w:ind w:left="720" w:hanging="360"/>
      </w:pPr>
      <w:rPr>
        <w:rFonts w:ascii="Calibri" w:eastAsia="Arial Unicode MS" w:hAnsi="Calibri" w:cs="Calibri"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5DAC4926"/>
    <w:multiLevelType w:val="hybridMultilevel"/>
    <w:tmpl w:val="DFBE2FB6"/>
    <w:lvl w:ilvl="0" w:tplc="FA8EE658">
      <w:start w:val="47"/>
      <w:numFmt w:val="bullet"/>
      <w:lvlText w:val="–"/>
      <w:lvlJc w:val="left"/>
      <w:pPr>
        <w:ind w:left="360" w:hanging="360"/>
      </w:pPr>
      <w:rPr>
        <w:rFonts w:ascii="Times New Roman" w:eastAsia="SimSun" w:hAnsi="Times New Roman" w:cs="Times New Roman"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3">
    <w:nsid w:val="62760D8D"/>
    <w:multiLevelType w:val="hybridMultilevel"/>
    <w:tmpl w:val="0324B436"/>
    <w:lvl w:ilvl="0" w:tplc="FA8EE658">
      <w:start w:val="47"/>
      <w:numFmt w:val="bullet"/>
      <w:lvlText w:val="–"/>
      <w:lvlJc w:val="left"/>
      <w:pPr>
        <w:ind w:left="360" w:hanging="360"/>
      </w:pPr>
      <w:rPr>
        <w:rFonts w:ascii="Times New Roman" w:eastAsia="SimSun" w:hAnsi="Times New Roman" w:cs="Times New Roman"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4">
    <w:nsid w:val="6A156402"/>
    <w:multiLevelType w:val="hybridMultilevel"/>
    <w:tmpl w:val="B978BF22"/>
    <w:lvl w:ilvl="0" w:tplc="FA8EE658">
      <w:start w:val="47"/>
      <w:numFmt w:val="bullet"/>
      <w:lvlText w:val="–"/>
      <w:lvlJc w:val="left"/>
      <w:pPr>
        <w:ind w:left="360" w:hanging="360"/>
      </w:pPr>
      <w:rPr>
        <w:rFonts w:ascii="Times New Roman" w:eastAsia="SimSun" w:hAnsi="Times New Roman" w:cs="Times New Roman"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5">
    <w:nsid w:val="738E5463"/>
    <w:multiLevelType w:val="hybridMultilevel"/>
    <w:tmpl w:val="38A225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D24CB1"/>
    <w:multiLevelType w:val="hybridMultilevel"/>
    <w:tmpl w:val="D3FCF894"/>
    <w:lvl w:ilvl="0" w:tplc="FA8EE658">
      <w:start w:val="47"/>
      <w:numFmt w:val="bullet"/>
      <w:lvlText w:val="–"/>
      <w:lvlJc w:val="left"/>
      <w:pPr>
        <w:ind w:left="720" w:hanging="360"/>
      </w:pPr>
      <w:rPr>
        <w:rFonts w:ascii="Times New Roman" w:eastAsia="SimSun"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79D81881"/>
    <w:multiLevelType w:val="hybridMultilevel"/>
    <w:tmpl w:val="A3DC9CA6"/>
    <w:lvl w:ilvl="0" w:tplc="FA8EE658">
      <w:start w:val="47"/>
      <w:numFmt w:val="bullet"/>
      <w:lvlText w:val="–"/>
      <w:lvlJc w:val="left"/>
      <w:pPr>
        <w:ind w:left="360" w:hanging="360"/>
      </w:pPr>
      <w:rPr>
        <w:rFonts w:ascii="Times New Roman" w:eastAsia="SimSun" w:hAnsi="Times New Roman" w:cs="Times New Roman"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8">
    <w:nsid w:val="7F9E1A26"/>
    <w:multiLevelType w:val="hybridMultilevel"/>
    <w:tmpl w:val="CB6A34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1"/>
  </w:num>
  <w:num w:numId="4">
    <w:abstractNumId w:val="6"/>
  </w:num>
  <w:num w:numId="5">
    <w:abstractNumId w:val="12"/>
  </w:num>
  <w:num w:numId="6">
    <w:abstractNumId w:val="8"/>
  </w:num>
  <w:num w:numId="7">
    <w:abstractNumId w:val="16"/>
  </w:num>
  <w:num w:numId="8">
    <w:abstractNumId w:val="14"/>
  </w:num>
  <w:num w:numId="9">
    <w:abstractNumId w:val="13"/>
  </w:num>
  <w:num w:numId="10">
    <w:abstractNumId w:val="17"/>
  </w:num>
  <w:num w:numId="11">
    <w:abstractNumId w:val="7"/>
  </w:num>
  <w:num w:numId="12">
    <w:abstractNumId w:val="4"/>
  </w:num>
  <w:num w:numId="13">
    <w:abstractNumId w:val="15"/>
  </w:num>
  <w:num w:numId="14">
    <w:abstractNumId w:val="0"/>
  </w:num>
  <w:num w:numId="15">
    <w:abstractNumId w:val="18"/>
  </w:num>
  <w:num w:numId="16">
    <w:abstractNumId w:val="2"/>
  </w:num>
  <w:num w:numId="17">
    <w:abstractNumId w:val="9"/>
  </w:num>
  <w:num w:numId="18">
    <w:abstractNumId w:val="10"/>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29A"/>
    <w:rsid w:val="00186525"/>
    <w:rsid w:val="001A6A4B"/>
    <w:rsid w:val="001C4835"/>
    <w:rsid w:val="001E45B1"/>
    <w:rsid w:val="00244763"/>
    <w:rsid w:val="00244FE9"/>
    <w:rsid w:val="00255B79"/>
    <w:rsid w:val="002C0EE6"/>
    <w:rsid w:val="00372F2E"/>
    <w:rsid w:val="00376EAE"/>
    <w:rsid w:val="003A5B89"/>
    <w:rsid w:val="004149C0"/>
    <w:rsid w:val="00446AFB"/>
    <w:rsid w:val="004729AE"/>
    <w:rsid w:val="004E0B86"/>
    <w:rsid w:val="0051740D"/>
    <w:rsid w:val="005515CE"/>
    <w:rsid w:val="005577F8"/>
    <w:rsid w:val="00595565"/>
    <w:rsid w:val="005A4144"/>
    <w:rsid w:val="005E4B68"/>
    <w:rsid w:val="005F5FAE"/>
    <w:rsid w:val="005F70A1"/>
    <w:rsid w:val="00600588"/>
    <w:rsid w:val="00640F9C"/>
    <w:rsid w:val="00643689"/>
    <w:rsid w:val="00695DE4"/>
    <w:rsid w:val="006D7723"/>
    <w:rsid w:val="006E0583"/>
    <w:rsid w:val="006E2601"/>
    <w:rsid w:val="0071421C"/>
    <w:rsid w:val="007170DA"/>
    <w:rsid w:val="00793682"/>
    <w:rsid w:val="00795B38"/>
    <w:rsid w:val="007B00ED"/>
    <w:rsid w:val="007B5DBC"/>
    <w:rsid w:val="007D2C58"/>
    <w:rsid w:val="00833D9C"/>
    <w:rsid w:val="0087606B"/>
    <w:rsid w:val="00885BBA"/>
    <w:rsid w:val="008D1C27"/>
    <w:rsid w:val="008D1FAD"/>
    <w:rsid w:val="008E4E89"/>
    <w:rsid w:val="009132C8"/>
    <w:rsid w:val="00930017"/>
    <w:rsid w:val="00973693"/>
    <w:rsid w:val="009D7917"/>
    <w:rsid w:val="009E05D6"/>
    <w:rsid w:val="009F4499"/>
    <w:rsid w:val="00A54B1E"/>
    <w:rsid w:val="00A743B9"/>
    <w:rsid w:val="00AB0236"/>
    <w:rsid w:val="00AC42E3"/>
    <w:rsid w:val="00AD56E6"/>
    <w:rsid w:val="00AE7AE9"/>
    <w:rsid w:val="00B10358"/>
    <w:rsid w:val="00B35344"/>
    <w:rsid w:val="00B51790"/>
    <w:rsid w:val="00B77E16"/>
    <w:rsid w:val="00BA3AE0"/>
    <w:rsid w:val="00BB1318"/>
    <w:rsid w:val="00BF1879"/>
    <w:rsid w:val="00C422EB"/>
    <w:rsid w:val="00C93F69"/>
    <w:rsid w:val="00CA6556"/>
    <w:rsid w:val="00CF4CB8"/>
    <w:rsid w:val="00D05DC3"/>
    <w:rsid w:val="00D062AC"/>
    <w:rsid w:val="00DE3F77"/>
    <w:rsid w:val="00DF629A"/>
    <w:rsid w:val="00E328DE"/>
    <w:rsid w:val="00E65E37"/>
    <w:rsid w:val="00E81BC3"/>
    <w:rsid w:val="00E95506"/>
    <w:rsid w:val="00EA0046"/>
    <w:rsid w:val="00F3680F"/>
    <w:rsid w:val="00F439D5"/>
    <w:rsid w:val="00F60241"/>
    <w:rsid w:val="00F67D51"/>
    <w:rsid w:val="00F92373"/>
    <w:rsid w:val="00FA2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187548-1F09-45AA-B6BB-B2A2AE92F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29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_text"/>
    <w:basedOn w:val="Normal"/>
    <w:link w:val="TabletextChar"/>
    <w:rsid w:val="00DF629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pPr>
    <w:rPr>
      <w:rFonts w:eastAsia="Times New Roman" w:cs="Calibri"/>
      <w:sz w:val="20"/>
    </w:rPr>
  </w:style>
  <w:style w:type="character" w:customStyle="1" w:styleId="TabletextChar">
    <w:name w:val="Table_text Char"/>
    <w:basedOn w:val="DefaultParagraphFont"/>
    <w:link w:val="Tabletext"/>
    <w:locked/>
    <w:rsid w:val="00DF629A"/>
    <w:rPr>
      <w:rFonts w:ascii="Calibri" w:eastAsia="Times New Roman" w:hAnsi="Calibri" w:cs="Calibri"/>
      <w:sz w:val="20"/>
    </w:rPr>
  </w:style>
  <w:style w:type="table" w:styleId="TableGrid">
    <w:name w:val="Table Grid"/>
    <w:basedOn w:val="TableNormal"/>
    <w:rsid w:val="00F3680F"/>
    <w:pPr>
      <w:spacing w:after="0" w:line="240" w:lineRule="auto"/>
    </w:pPr>
    <w:rPr>
      <w:rFonts w:ascii="CG Times" w:eastAsia="Times New Roman" w:hAnsi="CG Times"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B5DBC"/>
    <w:pPr>
      <w:tabs>
        <w:tab w:val="left" w:pos="1134"/>
        <w:tab w:val="left" w:pos="1871"/>
        <w:tab w:val="left" w:pos="2268"/>
      </w:tabs>
      <w:overflowPunct w:val="0"/>
      <w:autoSpaceDE w:val="0"/>
      <w:autoSpaceDN w:val="0"/>
      <w:adjustRightInd w:val="0"/>
      <w:spacing w:before="120" w:after="0" w:line="240" w:lineRule="auto"/>
      <w:ind w:left="720"/>
      <w:contextualSpacing/>
      <w:textAlignment w:val="baseline"/>
    </w:pPr>
    <w:rPr>
      <w:rFonts w:ascii="Times New Roman" w:eastAsia="Times New Roman" w:hAnsi="Times New Roman"/>
      <w:sz w:val="24"/>
      <w:szCs w:val="20"/>
      <w:lang w:val="en-GB"/>
    </w:rPr>
  </w:style>
  <w:style w:type="paragraph" w:styleId="NoSpacing">
    <w:name w:val="No Spacing"/>
    <w:link w:val="NoSpacingChar"/>
    <w:uiPriority w:val="1"/>
    <w:qFormat/>
    <w:rsid w:val="00885BBA"/>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885BBA"/>
    <w:rPr>
      <w:rFonts w:ascii="Calibri" w:eastAsia="Calibri" w:hAnsi="Calibri" w:cs="Times New Roman"/>
    </w:rPr>
  </w:style>
  <w:style w:type="paragraph" w:styleId="Header">
    <w:name w:val="header"/>
    <w:basedOn w:val="Normal"/>
    <w:link w:val="HeaderChar"/>
    <w:semiHidden/>
    <w:unhideWhenUsed/>
    <w:rsid w:val="00885BBA"/>
    <w:pPr>
      <w:tabs>
        <w:tab w:val="center" w:pos="4153"/>
        <w:tab w:val="right" w:pos="8306"/>
      </w:tabs>
      <w:spacing w:after="0" w:line="240" w:lineRule="auto"/>
    </w:pPr>
    <w:rPr>
      <w:rFonts w:ascii="Times New Roman" w:eastAsia="MS Mincho" w:hAnsi="Times New Roman"/>
      <w:sz w:val="20"/>
      <w:szCs w:val="20"/>
      <w:lang w:eastAsia="en-GB"/>
    </w:rPr>
  </w:style>
  <w:style w:type="character" w:customStyle="1" w:styleId="HeaderChar">
    <w:name w:val="Header Char"/>
    <w:basedOn w:val="DefaultParagraphFont"/>
    <w:link w:val="Header"/>
    <w:semiHidden/>
    <w:rsid w:val="00885BBA"/>
    <w:rPr>
      <w:rFonts w:ascii="Times New Roman" w:eastAsia="MS Mincho" w:hAnsi="Times New Roman" w:cs="Times New Roman"/>
      <w:sz w:val="20"/>
      <w:szCs w:val="20"/>
      <w:lang w:eastAsia="en-GB"/>
    </w:rPr>
  </w:style>
  <w:style w:type="paragraph" w:styleId="BalloonText">
    <w:name w:val="Balloon Text"/>
    <w:basedOn w:val="Normal"/>
    <w:link w:val="BalloonTextChar"/>
    <w:uiPriority w:val="99"/>
    <w:semiHidden/>
    <w:unhideWhenUsed/>
    <w:rsid w:val="00885B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BBA"/>
    <w:rPr>
      <w:rFonts w:ascii="Segoe UI" w:eastAsia="Calibri" w:hAnsi="Segoe UI" w:cs="Segoe UI"/>
      <w:sz w:val="18"/>
      <w:szCs w:val="18"/>
    </w:rPr>
  </w:style>
  <w:style w:type="character" w:styleId="Hyperlink">
    <w:name w:val="Hyperlink"/>
    <w:aliases w:val="CEO_Hyperlink"/>
    <w:basedOn w:val="DefaultParagraphFont"/>
    <w:unhideWhenUsed/>
    <w:rsid w:val="008760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776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itu.int/dms_pub/itu-r/opb/rep/R-REP-S.2223-1-2016-PDF-E.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DBCE0-4C13-4C1F-8D9A-3C92B3BAB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2946</TotalTime>
  <Pages>7</Pages>
  <Words>2554</Words>
  <Characters>14563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LEONEL ZAMBA</dc:creator>
  <cp:keywords/>
  <dc:description/>
  <cp:lastModifiedBy>LEONEL ZAMBA</cp:lastModifiedBy>
  <cp:revision>42</cp:revision>
  <dcterms:created xsi:type="dcterms:W3CDTF">2020-11-05T11:12:00Z</dcterms:created>
  <dcterms:modified xsi:type="dcterms:W3CDTF">2020-11-11T12:55:00Z</dcterms:modified>
</cp:coreProperties>
</file>